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45E00" w14:textId="03CE676D" w:rsidR="00680FBB" w:rsidRDefault="00680FBB" w:rsidP="00680FBB">
      <w:pPr>
        <w:tabs>
          <w:tab w:val="center" w:pos="4536"/>
          <w:tab w:val="right" w:pos="8280"/>
          <w:tab w:val="right" w:pos="9639"/>
        </w:tabs>
        <w:ind w:right="2"/>
        <w:rPr>
          <w:rFonts w:ascii="Arial" w:hAnsi="Arial" w:cs="Arial"/>
          <w:b/>
          <w:bCs/>
          <w:sz w:val="28"/>
        </w:rPr>
      </w:pPr>
      <w:bookmarkStart w:id="0" w:name="_Ref462675860"/>
      <w:bookmarkStart w:id="1" w:name="_Ref465963108"/>
      <w:r>
        <w:rPr>
          <w:rFonts w:ascii="Arial" w:hAnsi="Arial" w:cs="Arial"/>
          <w:b/>
          <w:bCs/>
          <w:sz w:val="28"/>
        </w:rPr>
        <w:t>3GPP TSG RAN WG1 Meeting NR#3</w:t>
      </w:r>
      <w:r>
        <w:rPr>
          <w:rFonts w:ascii="Arial" w:eastAsia="MS Mincho" w:hAnsi="Arial" w:cs="Arial"/>
          <w:b/>
          <w:bCs/>
          <w:sz w:val="28"/>
          <w:lang w:eastAsia="ja-JP"/>
        </w:rPr>
        <w:tab/>
        <w:t xml:space="preserve"> </w:t>
      </w:r>
      <w:r w:rsidR="00835CF6" w:rsidRPr="00835CF6">
        <w:rPr>
          <w:rFonts w:ascii="Arial" w:hAnsi="Arial" w:cs="Arial"/>
          <w:b/>
          <w:bCs/>
          <w:sz w:val="28"/>
        </w:rPr>
        <w:t>R1-1716437</w:t>
      </w:r>
    </w:p>
    <w:p w14:paraId="3C0458B8" w14:textId="4186F1E7" w:rsidR="008804DA" w:rsidRPr="009F10EE" w:rsidRDefault="00680FBB" w:rsidP="00680F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Pr>
          <w:rFonts w:ascii="Arial" w:hAnsi="Arial" w:cs="Arial"/>
          <w:b/>
          <w:bCs/>
          <w:sz w:val="28"/>
        </w:rPr>
        <w:t>September 201</w:t>
      </w:r>
      <w:r>
        <w:rPr>
          <w:rFonts w:ascii="Arial" w:eastAsia="MS Mincho" w:hAnsi="Arial" w:cs="Arial"/>
          <w:b/>
          <w:bCs/>
          <w:sz w:val="28"/>
          <w:lang w:eastAsia="ja-JP"/>
        </w:rPr>
        <w:t>7</w:t>
      </w:r>
    </w:p>
    <w:p w14:paraId="0DCC4F68" w14:textId="4DC32766"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315C5" w:rsidRPr="00835CF6">
        <w:rPr>
          <w:rFonts w:ascii="Arial" w:hAnsi="Arial"/>
          <w:sz w:val="24"/>
        </w:rPr>
        <w:t>6</w:t>
      </w:r>
      <w:r w:rsidR="007E0231" w:rsidRPr="00835CF6">
        <w:rPr>
          <w:rFonts w:ascii="Arial" w:hAnsi="Arial"/>
          <w:sz w:val="24"/>
        </w:rPr>
        <w:t>.3.3.</w:t>
      </w:r>
      <w:r w:rsidR="00835CF6" w:rsidRPr="00835CF6">
        <w:rPr>
          <w:rFonts w:ascii="Arial" w:hAnsi="Arial"/>
          <w:sz w:val="24"/>
        </w:rPr>
        <w:t>7</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95EB986"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E0231" w:rsidRPr="007E0231">
        <w:rPr>
          <w:rFonts w:ascii="Arial" w:hAnsi="Arial"/>
          <w:sz w:val="24"/>
        </w:rPr>
        <w:t>MPR issue with distributed RB allocation in UL</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3A815C5" w14:textId="62A7DB91" w:rsidR="00A50B69" w:rsidRDefault="00A50B69" w:rsidP="00981C1E">
      <w:pPr>
        <w:jc w:val="both"/>
      </w:pPr>
      <w:r>
        <w:t xml:space="preserve">This is a revised version of </w:t>
      </w:r>
      <w:r w:rsidRPr="00A50B69">
        <w:t>R1-1713440</w:t>
      </w:r>
      <w:r>
        <w:t xml:space="preserve"> from RAN1 90. </w:t>
      </w:r>
      <w:bookmarkStart w:id="2" w:name="_GoBack"/>
      <w:bookmarkEnd w:id="2"/>
    </w:p>
    <w:p w14:paraId="52E2790C" w14:textId="24D8FE7F" w:rsidR="001E3C52" w:rsidRDefault="00981C1E" w:rsidP="00981C1E">
      <w:pPr>
        <w:jc w:val="both"/>
      </w:pPr>
      <w:r>
        <w:t xml:space="preserve">In </w:t>
      </w:r>
      <w:r w:rsidR="00680FBB">
        <w:t>RAN1</w:t>
      </w:r>
      <w:r w:rsidR="001E3C52">
        <w:t xml:space="preserve"> </w:t>
      </w:r>
      <w:r w:rsidR="00C91D6E">
        <w:t xml:space="preserve">90 </w:t>
      </w:r>
      <w:r w:rsidR="00C91D6E">
        <w:fldChar w:fldCharType="begin"/>
      </w:r>
      <w:r w:rsidR="00C91D6E">
        <w:instrText xml:space="preserve"> REF _Ref492547761 \r \h </w:instrText>
      </w:r>
      <w:r w:rsidR="00C91D6E">
        <w:fldChar w:fldCharType="separate"/>
      </w:r>
      <w:r w:rsidR="00C91D6E">
        <w:t>[5]</w:t>
      </w:r>
      <w:r w:rsidR="00C91D6E">
        <w:fldChar w:fldCharType="end"/>
      </w:r>
      <w:r w:rsidR="001E3C52">
        <w:t xml:space="preserve">, </w:t>
      </w:r>
      <w:r>
        <w:t>the following agreement has been made for 1-symbol short PUCCH with more than 2 bits UCI</w:t>
      </w:r>
    </w:p>
    <w:p w14:paraId="44AD1333" w14:textId="653242C7" w:rsidR="00A918BA" w:rsidRPr="00A918BA" w:rsidRDefault="00A918BA" w:rsidP="00A918BA">
      <w:pPr>
        <w:rPr>
          <w:b/>
          <w:bCs/>
          <w:u w:val="single"/>
          <w:lang w:eastAsia="ja-JP"/>
        </w:rPr>
      </w:pPr>
      <w:r w:rsidRPr="00A918BA">
        <w:rPr>
          <w:b/>
          <w:bCs/>
          <w:u w:val="single"/>
          <w:lang w:eastAsia="ja-JP"/>
        </w:rPr>
        <w:t>Agreements:</w:t>
      </w:r>
    </w:p>
    <w:p w14:paraId="5D47495C" w14:textId="77777777" w:rsidR="00C91D6E" w:rsidRPr="00644CC3" w:rsidRDefault="00C91D6E" w:rsidP="00C91D6E">
      <w:pPr>
        <w:numPr>
          <w:ilvl w:val="0"/>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For 1-symbol short-PUCCH for UCI of more than 2 bits,</w:t>
      </w:r>
    </w:p>
    <w:p w14:paraId="12D6463C" w14:textId="77777777" w:rsidR="00C91D6E" w:rsidRPr="00644CC3" w:rsidRDefault="00C91D6E" w:rsidP="00C91D6E">
      <w:pPr>
        <w:numPr>
          <w:ilvl w:val="1"/>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The number of PRBs that can be used for a PUCCH is configurable.</w:t>
      </w:r>
    </w:p>
    <w:p w14:paraId="41513048" w14:textId="77777777" w:rsidR="00C91D6E" w:rsidRPr="00644CC3" w:rsidRDefault="00C91D6E" w:rsidP="00C91D6E">
      <w:pPr>
        <w:numPr>
          <w:ilvl w:val="2"/>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Support contiguous and non-contiguous PRB allocation.</w:t>
      </w:r>
    </w:p>
    <w:p w14:paraId="62B614BE" w14:textId="77777777" w:rsidR="00C91D6E" w:rsidRPr="00776D93" w:rsidRDefault="00C91D6E" w:rsidP="00C91D6E">
      <w:pPr>
        <w:numPr>
          <w:ilvl w:val="3"/>
          <w:numId w:val="8"/>
        </w:numPr>
        <w:tabs>
          <w:tab w:val="left" w:pos="0"/>
        </w:tabs>
        <w:overflowPunct/>
        <w:autoSpaceDE/>
        <w:autoSpaceDN/>
        <w:adjustRightInd/>
        <w:spacing w:after="0"/>
        <w:textAlignment w:val="auto"/>
        <w:rPr>
          <w:rFonts w:eastAsia="MS Mincho"/>
          <w:b/>
          <w:iCs/>
          <w:highlight w:val="yellow"/>
          <w:lang w:eastAsia="ja-JP"/>
        </w:rPr>
      </w:pPr>
      <w:r w:rsidRPr="00776D93">
        <w:rPr>
          <w:rFonts w:eastAsia="MS Mincho"/>
          <w:b/>
          <w:iCs/>
          <w:highlight w:val="yellow"/>
          <w:lang w:eastAsia="ja-JP"/>
        </w:rPr>
        <w:t>If prioritization is necessary, contiguous PRB allocation is prioritized.</w:t>
      </w:r>
    </w:p>
    <w:p w14:paraId="7E46AE03" w14:textId="77777777" w:rsidR="00C91D6E" w:rsidRPr="00644CC3" w:rsidRDefault="00C91D6E" w:rsidP="00C91D6E">
      <w:pPr>
        <w:numPr>
          <w:ilvl w:val="1"/>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The number of DM-RS REs per PRB is 4.</w:t>
      </w:r>
    </w:p>
    <w:p w14:paraId="788EA5FE" w14:textId="77777777" w:rsidR="00C91D6E" w:rsidRPr="00644CC3" w:rsidRDefault="00C91D6E" w:rsidP="00C91D6E">
      <w:pPr>
        <w:numPr>
          <w:ilvl w:val="2"/>
          <w:numId w:val="8"/>
        </w:numPr>
        <w:tabs>
          <w:tab w:val="left" w:pos="0"/>
        </w:tabs>
        <w:overflowPunct/>
        <w:autoSpaceDE/>
        <w:autoSpaceDN/>
        <w:adjustRightInd/>
        <w:spacing w:after="0"/>
        <w:textAlignment w:val="auto"/>
        <w:rPr>
          <w:rFonts w:eastAsia="MS Mincho"/>
          <w:iCs/>
          <w:lang w:eastAsia="ja-JP"/>
        </w:rPr>
      </w:pPr>
      <w:r w:rsidRPr="00644CC3">
        <w:rPr>
          <w:rFonts w:eastAsia="MS Mincho" w:hint="eastAsia"/>
          <w:iCs/>
          <w:lang w:eastAsia="ja-JP"/>
        </w:rPr>
        <w:t>DM-RS REs are at the fixed positions within a PRB.</w:t>
      </w:r>
    </w:p>
    <w:p w14:paraId="1382F9B0" w14:textId="77777777" w:rsidR="00C91D6E" w:rsidRPr="00644CC3" w:rsidRDefault="00C91D6E" w:rsidP="00C91D6E">
      <w:pPr>
        <w:numPr>
          <w:ilvl w:val="1"/>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The sequences used for DM-RS are one of the following:</w:t>
      </w:r>
    </w:p>
    <w:p w14:paraId="22B18485" w14:textId="77777777" w:rsidR="00C91D6E" w:rsidRDefault="00C91D6E" w:rsidP="00C91D6E">
      <w:pPr>
        <w:numPr>
          <w:ilvl w:val="2"/>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Option 1: PN sequences as for PUSCH</w:t>
      </w:r>
    </w:p>
    <w:p w14:paraId="0F35A2E8" w14:textId="77777777" w:rsidR="00C91D6E" w:rsidRPr="00644CC3" w:rsidRDefault="00C91D6E" w:rsidP="00C91D6E">
      <w:pPr>
        <w:numPr>
          <w:ilvl w:val="2"/>
          <w:numId w:val="8"/>
        </w:numPr>
        <w:tabs>
          <w:tab w:val="left" w:pos="0"/>
        </w:tabs>
        <w:overflowPunct/>
        <w:autoSpaceDE/>
        <w:autoSpaceDN/>
        <w:adjustRightInd/>
        <w:spacing w:after="0"/>
        <w:textAlignment w:val="auto"/>
        <w:rPr>
          <w:rFonts w:eastAsia="MS Mincho"/>
          <w:iCs/>
          <w:lang w:eastAsia="ja-JP"/>
        </w:rPr>
      </w:pPr>
      <w:r w:rsidRPr="00644CC3">
        <w:rPr>
          <w:rFonts w:eastAsia="MS Mincho"/>
          <w:iCs/>
          <w:lang w:eastAsia="ja-JP"/>
        </w:rPr>
        <w:t>Option 2: LTE computer-generated/ZC sequence</w:t>
      </w:r>
    </w:p>
    <w:p w14:paraId="06613C1E" w14:textId="336915F1" w:rsidR="007B04BA" w:rsidRPr="00981C1E" w:rsidRDefault="007B04BA" w:rsidP="00981C1E">
      <w:pPr>
        <w:numPr>
          <w:ilvl w:val="2"/>
          <w:numId w:val="8"/>
        </w:numPr>
        <w:overflowPunct/>
        <w:autoSpaceDE/>
        <w:autoSpaceDN/>
        <w:adjustRightInd/>
        <w:spacing w:after="0"/>
        <w:textAlignment w:val="auto"/>
        <w:rPr>
          <w:rFonts w:eastAsia="MS Mincho"/>
          <w:iCs/>
          <w:lang w:eastAsia="ja-JP"/>
        </w:rPr>
      </w:pPr>
    </w:p>
    <w:p w14:paraId="5ECAF6EF" w14:textId="77777777" w:rsidR="00981C1E" w:rsidRDefault="00981C1E" w:rsidP="000A3CBA">
      <w:pPr>
        <w:jc w:val="both"/>
        <w:rPr>
          <w:rFonts w:eastAsia="MS Mincho"/>
        </w:rPr>
      </w:pPr>
    </w:p>
    <w:p w14:paraId="244598CB" w14:textId="20E0CADE" w:rsidR="00A918BA" w:rsidRDefault="00A918BA" w:rsidP="00A918BA">
      <w:pPr>
        <w:rPr>
          <w:b/>
          <w:bCs/>
          <w:highlight w:val="green"/>
          <w:u w:val="single"/>
          <w:lang w:eastAsia="ja-JP"/>
        </w:rPr>
      </w:pPr>
      <w:r>
        <w:rPr>
          <w:rFonts w:eastAsia="MS Mincho"/>
        </w:rPr>
        <w:t xml:space="preserve">In </w:t>
      </w:r>
      <w:r w:rsidR="00680FBB">
        <w:rPr>
          <w:rFonts w:eastAsia="MS Mincho"/>
        </w:rPr>
        <w:t>RAN1</w:t>
      </w:r>
      <w:r>
        <w:rPr>
          <w:rFonts w:eastAsia="MS Mincho"/>
        </w:rPr>
        <w:t xml:space="preserve"> 88 </w:t>
      </w:r>
      <w:r>
        <w:rPr>
          <w:rFonts w:eastAsia="MS Mincho"/>
        </w:rPr>
        <w:fldChar w:fldCharType="begin"/>
      </w:r>
      <w:r>
        <w:rPr>
          <w:rFonts w:eastAsia="MS Mincho"/>
        </w:rPr>
        <w:instrText xml:space="preserve"> REF _Ref481675123 \r \h </w:instrText>
      </w:r>
      <w:r>
        <w:rPr>
          <w:rFonts w:eastAsia="MS Mincho"/>
        </w:rPr>
      </w:r>
      <w:r>
        <w:rPr>
          <w:rFonts w:eastAsia="MS Mincho"/>
        </w:rPr>
        <w:fldChar w:fldCharType="separate"/>
      </w:r>
      <w:r>
        <w:rPr>
          <w:rFonts w:eastAsia="MS Mincho"/>
        </w:rPr>
        <w:t>[2]</w:t>
      </w:r>
      <w:r>
        <w:rPr>
          <w:rFonts w:eastAsia="MS Mincho"/>
        </w:rPr>
        <w:fldChar w:fldCharType="end"/>
      </w:r>
      <w:r>
        <w:rPr>
          <w:rFonts w:eastAsia="MS Mincho"/>
        </w:rPr>
        <w:t>, the following agreement has been made for CP-OFDM based UL data channel.</w:t>
      </w:r>
    </w:p>
    <w:p w14:paraId="34ED7745" w14:textId="7BB9DC4E" w:rsidR="00A918BA" w:rsidRDefault="00A918BA" w:rsidP="00A918BA">
      <w:pPr>
        <w:rPr>
          <w:b/>
          <w:bCs/>
          <w:u w:val="single"/>
          <w:lang w:eastAsia="ja-JP"/>
        </w:rPr>
      </w:pPr>
      <w:r w:rsidRPr="00A918BA">
        <w:rPr>
          <w:b/>
          <w:bCs/>
          <w:u w:val="single"/>
          <w:lang w:eastAsia="ja-JP"/>
        </w:rPr>
        <w:t>Agreements:</w:t>
      </w:r>
    </w:p>
    <w:p w14:paraId="150573ED" w14:textId="77777777" w:rsidR="00A918BA" w:rsidRPr="00C80FA6" w:rsidRDefault="00A918BA" w:rsidP="00A918BA">
      <w:pPr>
        <w:numPr>
          <w:ilvl w:val="0"/>
          <w:numId w:val="9"/>
        </w:numPr>
        <w:overflowPunct/>
        <w:autoSpaceDE/>
        <w:autoSpaceDN/>
        <w:adjustRightInd/>
        <w:spacing w:after="0"/>
        <w:textAlignment w:val="auto"/>
        <w:rPr>
          <w:lang w:eastAsia="ja-JP"/>
        </w:rPr>
      </w:pPr>
      <w:r w:rsidRPr="00C80FA6">
        <w:rPr>
          <w:lang w:eastAsia="ja-JP"/>
        </w:rPr>
        <w:t>NR supports both contiguous and non-contiguous resource allocation for data with CP-OFDM for both UL and DL</w:t>
      </w:r>
    </w:p>
    <w:p w14:paraId="36D74241" w14:textId="5E96B052" w:rsidR="00A918BA" w:rsidRPr="00776D93" w:rsidRDefault="00A918BA" w:rsidP="00C80FA6">
      <w:pPr>
        <w:numPr>
          <w:ilvl w:val="1"/>
          <w:numId w:val="8"/>
        </w:numPr>
        <w:overflowPunct/>
        <w:autoSpaceDE/>
        <w:autoSpaceDN/>
        <w:adjustRightInd/>
        <w:spacing w:after="0"/>
        <w:textAlignment w:val="auto"/>
        <w:rPr>
          <w:rFonts w:eastAsia="MS Mincho"/>
          <w:iCs/>
          <w:lang w:eastAsia="ja-JP"/>
        </w:rPr>
      </w:pPr>
      <w:r w:rsidRPr="00776D93">
        <w:rPr>
          <w:rFonts w:eastAsia="MS Mincho"/>
          <w:iCs/>
          <w:lang w:eastAsia="ja-JP"/>
        </w:rPr>
        <w:t>FFS detailed for both contiguous and non-contiguous resource allocation schemes</w:t>
      </w:r>
    </w:p>
    <w:p w14:paraId="5FDCCD66" w14:textId="77777777" w:rsidR="00C80FA6" w:rsidRDefault="00C80FA6" w:rsidP="000A3CBA">
      <w:pPr>
        <w:jc w:val="both"/>
      </w:pPr>
    </w:p>
    <w:p w14:paraId="2DEE62EE" w14:textId="68FD1B92" w:rsidR="00E036ED" w:rsidRDefault="00E036ED" w:rsidP="000A3CBA">
      <w:pPr>
        <w:jc w:val="both"/>
      </w:pPr>
      <w:r>
        <w:t>This contribution studies the maximum power reduction (MPR) associated with UL transmission of non-contiguous PRBs</w:t>
      </w:r>
      <w:r w:rsidR="004703DB">
        <w:t xml:space="preserve"> with CP-OFDM waveform</w:t>
      </w:r>
      <w:r>
        <w:t xml:space="preserve">. </w:t>
      </w:r>
      <w:r w:rsidR="00B96D7E">
        <w:t xml:space="preserve">This contribution also studied PUCCH performance with contiguous and non-contiguous PBRs. </w:t>
      </w:r>
      <w:r w:rsidR="00C91D6E">
        <w:t>Based on the study results, it is proposed to prioritize contiguous PRB allocation for UL transmission for NR.</w:t>
      </w:r>
    </w:p>
    <w:p w14:paraId="56319AB1" w14:textId="66690E37" w:rsidR="009D357D" w:rsidRDefault="00752AC5" w:rsidP="009D357D">
      <w:pPr>
        <w:pStyle w:val="Heading1"/>
        <w:jc w:val="both"/>
      </w:pPr>
      <w:bookmarkStart w:id="3" w:name="_Ref473802466"/>
      <w:bookmarkStart w:id="4" w:name="_Ref462669569"/>
      <w:r>
        <w:t>MPR with con-contiguous PRBs</w:t>
      </w:r>
    </w:p>
    <w:p w14:paraId="0627B1F8" w14:textId="3178887E" w:rsidR="00354E8B" w:rsidRDefault="00A472F9" w:rsidP="0015796F">
      <w:pPr>
        <w:jc w:val="both"/>
      </w:pPr>
      <w:r>
        <w:t xml:space="preserve">Non-contiguous PRBs allocation has certain advantage for UL transmission such as frequency diversity and more flexible resource allocations. However, it also created issues such as intermodulation (IM) distortion such as IM3 and IM5 and other RF implementation issues. </w:t>
      </w:r>
      <w:r w:rsidR="006F3C27">
        <w:t xml:space="preserve">In order to deal with the IM3/IM5 and other RF related issues, UE often need to </w:t>
      </w:r>
      <w:r w:rsidR="0077583C">
        <w:t>back off</w:t>
      </w:r>
      <w:r w:rsidR="006F3C27">
        <w:t xml:space="preserve"> the maximum PA power to satisfy the </w:t>
      </w:r>
      <w:r w:rsidR="00540310">
        <w:t>e</w:t>
      </w:r>
      <w:r w:rsidR="006F3C27">
        <w:t>mis</w:t>
      </w:r>
      <w:r w:rsidR="00540310">
        <w:t>s</w:t>
      </w:r>
      <w:r w:rsidR="006F3C27">
        <w:t xml:space="preserve">ion requirements. This maximum </w:t>
      </w:r>
      <w:r w:rsidR="0077583C">
        <w:t>back off</w:t>
      </w:r>
      <w:r w:rsidR="006F3C27">
        <w:t xml:space="preserve"> of PA power is referred as maximum power reduction (MPR). With non-contiguous PRB allocation, in many cases, the MPR can offset the diversity gain and leads to worse UL performance comparing to contig</w:t>
      </w:r>
      <w:r w:rsidR="00FE579F">
        <w:t>u</w:t>
      </w:r>
      <w:r w:rsidR="006F3C27">
        <w:t xml:space="preserve">ous PRB allocation. </w:t>
      </w:r>
      <w:r w:rsidR="00FE579F">
        <w:t>Therefore, when considering the allowed non-</w:t>
      </w:r>
      <w:r w:rsidR="0077583C">
        <w:t>contiguous</w:t>
      </w:r>
      <w:r w:rsidR="00FE579F">
        <w:t xml:space="preserve"> PRB allocation, certain limitation from MPR </w:t>
      </w:r>
      <w:r w:rsidR="0077583C">
        <w:t>perspective</w:t>
      </w:r>
      <w:r w:rsidR="00FE579F">
        <w:t xml:space="preserve"> should be considered to exclude those non-</w:t>
      </w:r>
      <w:r w:rsidR="0077583C">
        <w:t>contiguous</w:t>
      </w:r>
      <w:r w:rsidR="00FE579F">
        <w:t xml:space="preserve"> PRB allocation patterns with large MPR. </w:t>
      </w:r>
    </w:p>
    <w:p w14:paraId="6309D8FD" w14:textId="1B55C656" w:rsidR="00354E8B" w:rsidRDefault="00354E8B" w:rsidP="0015796F">
      <w:pPr>
        <w:jc w:val="both"/>
      </w:pPr>
      <w:r>
        <w:t xml:space="preserve">The largest MPR is created by the </w:t>
      </w:r>
      <w:r w:rsidR="00540310">
        <w:t>PRB allocation</w:t>
      </w:r>
      <w:r>
        <w:t xml:space="preserve"> pattern as shown in </w:t>
      </w:r>
      <w:r>
        <w:fldChar w:fldCharType="begin"/>
      </w:r>
      <w:r>
        <w:instrText xml:space="preserve"> REF _Ref477973495 \h </w:instrText>
      </w:r>
      <w:r>
        <w:fldChar w:fldCharType="separate"/>
      </w:r>
      <w:r w:rsidRPr="004D5E14">
        <w:rPr>
          <w:b/>
        </w:rPr>
        <w:t xml:space="preserve">Figure </w:t>
      </w:r>
      <w:r>
        <w:rPr>
          <w:b/>
          <w:noProof/>
        </w:rPr>
        <w:t>1</w:t>
      </w:r>
      <w:r>
        <w:fldChar w:fldCharType="end"/>
      </w:r>
      <w:r>
        <w:t xml:space="preserve">. </w:t>
      </w:r>
      <w:r w:rsidR="001824F2">
        <w:t xml:space="preserve">In this scenario, the whole system bandwidth is Z Mhz. One RB is allocated at the top edge of the system bandwidth, while the other RB is allocated at the bottom edge of </w:t>
      </w:r>
      <w:r w:rsidR="001824F2">
        <w:lastRenderedPageBreak/>
        <w:t xml:space="preserve">the system bandwidth. </w:t>
      </w:r>
      <w:r w:rsidR="00DC2A25">
        <w:t xml:space="preserve">This PRB allocation may provide large frequency </w:t>
      </w:r>
      <w:r w:rsidR="0077583C">
        <w:t>diversity</w:t>
      </w:r>
      <w:r w:rsidR="00DC2A25">
        <w:t xml:space="preserve"> for 1-symbol PUCCH. However, w</w:t>
      </w:r>
      <w:r w:rsidR="00540310">
        <w:t xml:space="preserve">ith this kind of PRB allocation, the IM3 is very far away. To </w:t>
      </w:r>
      <w:r w:rsidR="0077583C">
        <w:t>satisfy</w:t>
      </w:r>
      <w:r w:rsidR="00540310">
        <w:t xml:space="preserve"> the emission requirements such ACLR level, the MPR is very large. In</w:t>
      </w:r>
      <w:r w:rsidR="007E0231">
        <w:t xml:space="preserve"> Section 6.2.3 in</w:t>
      </w:r>
      <w:r w:rsidR="00540310">
        <w:t xml:space="preserve"> </w:t>
      </w:r>
      <w:r w:rsidR="00E208A0">
        <w:fldChar w:fldCharType="begin"/>
      </w:r>
      <w:r w:rsidR="00E208A0">
        <w:instrText xml:space="preserve"> REF _Ref481678721 \r \h </w:instrText>
      </w:r>
      <w:r w:rsidR="00E208A0">
        <w:fldChar w:fldCharType="separate"/>
      </w:r>
      <w:r w:rsidR="00E208A0">
        <w:t>[3]</w:t>
      </w:r>
      <w:r w:rsidR="00E208A0">
        <w:fldChar w:fldCharType="end"/>
      </w:r>
      <w:r w:rsidR="00E208A0">
        <w:t xml:space="preserve">, </w:t>
      </w:r>
      <w:r w:rsidR="00DC2A25">
        <w:t>MPR is defined as following</w:t>
      </w:r>
    </w:p>
    <w:p w14:paraId="3BC26D0F" w14:textId="77777777" w:rsidR="00DC2A25" w:rsidRPr="00570FF5" w:rsidRDefault="00DC2A25" w:rsidP="00DC2A25">
      <w:pPr>
        <w:jc w:val="center"/>
      </w:pPr>
      <w:r w:rsidRPr="00570FF5">
        <w:rPr>
          <w:rFonts w:hint="eastAsia"/>
        </w:rPr>
        <w:t>MPR = CEIL {M</w:t>
      </w:r>
      <w:r w:rsidRPr="00570FF5">
        <w:rPr>
          <w:rFonts w:hint="eastAsia"/>
          <w:vertAlign w:val="subscript"/>
        </w:rPr>
        <w:t>A</w:t>
      </w:r>
      <w:r w:rsidRPr="00570FF5">
        <w:rPr>
          <w:rFonts w:hint="eastAsia"/>
        </w:rPr>
        <w:t>, 0.5}</w:t>
      </w:r>
    </w:p>
    <w:p w14:paraId="2CDEA268" w14:textId="77777777" w:rsidR="00DC2A25" w:rsidRPr="00570FF5" w:rsidRDefault="00DC2A25" w:rsidP="00DC2A25">
      <w:r w:rsidRPr="00570FF5">
        <w:rPr>
          <w:rFonts w:hint="eastAsia"/>
        </w:rPr>
        <w:t>Where M</w:t>
      </w:r>
      <w:r w:rsidRPr="00570FF5">
        <w:rPr>
          <w:rFonts w:hint="eastAsia"/>
          <w:vertAlign w:val="subscript"/>
        </w:rPr>
        <w:t>A</w:t>
      </w:r>
      <w:r w:rsidRPr="00570FF5">
        <w:rPr>
          <w:rFonts w:hint="eastAsia"/>
        </w:rPr>
        <w:t xml:space="preserve"> is defined as follows</w:t>
      </w:r>
      <w:r w:rsidRPr="00570FF5">
        <w:rPr>
          <w:rFonts w:eastAsia="Malgun Gothic" w:hint="eastAsia"/>
        </w:rPr>
        <w:t xml:space="preserve"> </w:t>
      </w:r>
      <w:r w:rsidRPr="00570FF5">
        <w:t>for QPSK, 16 QAM and 64 QAM</w:t>
      </w:r>
    </w:p>
    <w:p w14:paraId="74092DF8" w14:textId="77777777" w:rsidR="00DC2A25" w:rsidRPr="00570FF5" w:rsidRDefault="00DC2A25" w:rsidP="00DC2A25">
      <w:pPr>
        <w:ind w:firstLine="3402"/>
      </w:pPr>
      <w:r w:rsidRPr="00570FF5">
        <w:rPr>
          <w:rFonts w:hint="eastAsia"/>
        </w:rPr>
        <w:t>M</w:t>
      </w:r>
      <w:r w:rsidRPr="00570FF5">
        <w:rPr>
          <w:rFonts w:hint="eastAsia"/>
          <w:vertAlign w:val="subscript"/>
        </w:rPr>
        <w:t>A</w:t>
      </w:r>
      <w:r w:rsidRPr="00570FF5">
        <w:rPr>
          <w:rFonts w:hint="eastAsia"/>
        </w:rPr>
        <w:t xml:space="preserve"> =</w:t>
      </w:r>
      <w:r w:rsidRPr="00570FF5">
        <w:tab/>
      </w:r>
      <w:r w:rsidRPr="00570FF5">
        <w:rPr>
          <w:rFonts w:hint="eastAsia"/>
        </w:rPr>
        <w:t>8.0</w:t>
      </w:r>
      <w:r w:rsidRPr="00570FF5">
        <w:t>0</w:t>
      </w:r>
      <w:r w:rsidRPr="00570FF5">
        <w:rPr>
          <w:rFonts w:hint="eastAsia"/>
        </w:rPr>
        <w:t>-10.12A</w:t>
      </w:r>
      <w:r w:rsidRPr="00570FF5">
        <w:rPr>
          <w:rFonts w:hint="eastAsia"/>
        </w:rPr>
        <w:tab/>
      </w:r>
      <w:r w:rsidRPr="00570FF5">
        <w:tab/>
      </w:r>
      <w:r w:rsidRPr="00570FF5">
        <w:rPr>
          <w:rFonts w:hint="eastAsia"/>
        </w:rPr>
        <w:t>; 0</w:t>
      </w:r>
      <w:r w:rsidRPr="00570FF5">
        <w:t>.00</w:t>
      </w:r>
      <w:r w:rsidRPr="00570FF5">
        <w:rPr>
          <w:rFonts w:hint="eastAsia"/>
        </w:rPr>
        <w:t xml:space="preserve">&lt; A </w:t>
      </w:r>
      <w:r w:rsidRPr="00570FF5">
        <w:t>≤ 0.33</w:t>
      </w:r>
    </w:p>
    <w:p w14:paraId="1F357A28" w14:textId="77777777" w:rsidR="00DC2A25" w:rsidRPr="00570FF5" w:rsidRDefault="00DC2A25" w:rsidP="00DC2A25">
      <w:pPr>
        <w:ind w:firstLine="3969"/>
      </w:pPr>
      <w:r w:rsidRPr="00570FF5">
        <w:t xml:space="preserve">5.67 </w:t>
      </w:r>
      <w:r w:rsidRPr="00570FF5">
        <w:rPr>
          <w:rFonts w:hint="eastAsia"/>
        </w:rPr>
        <w:t>- 3.07A</w:t>
      </w:r>
      <w:r w:rsidRPr="00570FF5">
        <w:rPr>
          <w:rFonts w:hint="eastAsia"/>
        </w:rPr>
        <w:tab/>
      </w:r>
      <w:r w:rsidRPr="00570FF5">
        <w:tab/>
      </w:r>
      <w:r w:rsidRPr="00570FF5">
        <w:rPr>
          <w:rFonts w:hint="eastAsia"/>
        </w:rPr>
        <w:t xml:space="preserve">; 0.33&lt; A </w:t>
      </w:r>
      <w:r w:rsidRPr="00570FF5">
        <w:t>≤</w:t>
      </w:r>
      <w:r w:rsidRPr="00570FF5">
        <w:rPr>
          <w:rFonts w:hint="eastAsia"/>
        </w:rPr>
        <w:t>0.77</w:t>
      </w:r>
    </w:p>
    <w:p w14:paraId="619C1C22" w14:textId="77777777" w:rsidR="00DC2A25" w:rsidRPr="00570FF5" w:rsidRDefault="00DC2A25" w:rsidP="00DC2A25">
      <w:pPr>
        <w:ind w:firstLine="3969"/>
        <w:rPr>
          <w:rFonts w:eastAsia="Malgun Gothic"/>
        </w:rPr>
      </w:pPr>
      <w:r w:rsidRPr="00570FF5">
        <w:t>3.31</w:t>
      </w:r>
      <w:r w:rsidRPr="00570FF5">
        <w:tab/>
      </w:r>
      <w:r w:rsidRPr="00570FF5">
        <w:tab/>
      </w:r>
      <w:r w:rsidRPr="00570FF5">
        <w:tab/>
      </w:r>
      <w:r w:rsidRPr="00570FF5">
        <w:tab/>
        <w:t>; 0.77&lt; A ≤1.00</w:t>
      </w:r>
    </w:p>
    <w:p w14:paraId="3CF028C2" w14:textId="77777777" w:rsidR="00DC2A25" w:rsidRPr="00570FF5" w:rsidRDefault="00DC2A25" w:rsidP="00DC2A25">
      <w:r w:rsidRPr="00570FF5">
        <w:rPr>
          <w:rFonts w:hint="eastAsia"/>
        </w:rPr>
        <w:t>Where M</w:t>
      </w:r>
      <w:r w:rsidRPr="00570FF5">
        <w:rPr>
          <w:rFonts w:hint="eastAsia"/>
          <w:vertAlign w:val="subscript"/>
        </w:rPr>
        <w:t>A</w:t>
      </w:r>
      <w:r w:rsidRPr="00570FF5">
        <w:rPr>
          <w:rFonts w:hint="eastAsia"/>
        </w:rPr>
        <w:t xml:space="preserve"> is defined as follows</w:t>
      </w:r>
      <w:r w:rsidRPr="00570FF5">
        <w:t xml:space="preserve"> for 256 QAM</w:t>
      </w:r>
    </w:p>
    <w:p w14:paraId="64585D3C" w14:textId="77777777" w:rsidR="00DC2A25" w:rsidRPr="00570FF5" w:rsidRDefault="00DC2A25" w:rsidP="00DC2A25">
      <w:pPr>
        <w:ind w:firstLine="3402"/>
      </w:pPr>
      <w:r w:rsidRPr="00570FF5">
        <w:t>MA = 8.00-10.12A</w:t>
      </w:r>
      <w:r w:rsidRPr="00570FF5">
        <w:tab/>
      </w:r>
      <w:r w:rsidRPr="00570FF5">
        <w:tab/>
        <w:t>; 0.00&lt; A ≤ 0.25</w:t>
      </w:r>
    </w:p>
    <w:p w14:paraId="2CFDC0EE" w14:textId="77777777" w:rsidR="00DC2A25" w:rsidRPr="00570FF5" w:rsidRDefault="00DC2A25" w:rsidP="00DC2A25">
      <w:pPr>
        <w:ind w:firstLine="3969"/>
      </w:pPr>
      <w:r w:rsidRPr="00570FF5">
        <w:tab/>
        <w:t>5.50</w:t>
      </w:r>
      <w:r w:rsidRPr="00570FF5">
        <w:tab/>
      </w:r>
      <w:r w:rsidRPr="00570FF5">
        <w:tab/>
      </w:r>
      <w:r w:rsidRPr="00570FF5">
        <w:rPr>
          <w:rFonts w:eastAsia="Malgun Gothic" w:hint="eastAsia"/>
        </w:rPr>
        <w:tab/>
      </w:r>
      <w:r w:rsidRPr="00570FF5">
        <w:tab/>
        <w:t>; 0.25&lt; A &lt; 1.00</w:t>
      </w:r>
    </w:p>
    <w:p w14:paraId="64A77D69" w14:textId="77777777" w:rsidR="00DC2A25" w:rsidRPr="00570FF5" w:rsidRDefault="00DC2A25" w:rsidP="00DC2A25">
      <w:r w:rsidRPr="00570FF5">
        <w:t>Where</w:t>
      </w:r>
    </w:p>
    <w:p w14:paraId="2B0511A8" w14:textId="66A18C0C" w:rsidR="00DC2A25" w:rsidRPr="00DC2A25" w:rsidRDefault="00DC2A25" w:rsidP="00DC2A25">
      <w:pPr>
        <w:pStyle w:val="B1"/>
        <w:rPr>
          <w:vertAlign w:val="subscript"/>
        </w:rPr>
      </w:pPr>
      <w:r w:rsidRPr="00570FF5">
        <w:tab/>
        <w:t xml:space="preserve">A = </w:t>
      </w:r>
      <w:proofErr w:type="spellStart"/>
      <w:r w:rsidRPr="00570FF5">
        <w:t>N</w:t>
      </w:r>
      <w:r w:rsidRPr="00570FF5">
        <w:rPr>
          <w:vertAlign w:val="subscript"/>
        </w:rPr>
        <w:t>RB_alloc</w:t>
      </w:r>
      <w:proofErr w:type="spellEnd"/>
      <w:r w:rsidRPr="00570FF5">
        <w:t xml:space="preserve"> / N</w:t>
      </w:r>
      <w:r w:rsidRPr="00570FF5">
        <w:rPr>
          <w:vertAlign w:val="subscript"/>
        </w:rPr>
        <w:t>RB.</w:t>
      </w:r>
    </w:p>
    <w:p w14:paraId="200F9BF6" w14:textId="5884867D" w:rsidR="00DC2A25" w:rsidRDefault="00DC2A25" w:rsidP="0015796F">
      <w:pPr>
        <w:jc w:val="both"/>
      </w:pPr>
      <w:r>
        <w:t xml:space="preserve">Given the modulation is QPSK for 1-symbol PUCCH, suppose the whole system bandwidth is 20Mhz which is equivalently 100RBs following LTE </w:t>
      </w:r>
      <w:r w:rsidR="0077583C">
        <w:t>numerology</w:t>
      </w:r>
      <w:r>
        <w:t>, A is 0.02 in this scenario, which leads to MPR of 8dB. This MPR of 8dB will easily offset the diversity gain of the non-contiguous PRB allocation. Therefore, we can see that non-</w:t>
      </w:r>
      <w:r w:rsidR="0077583C">
        <w:t>contiguous</w:t>
      </w:r>
      <w:r>
        <w:t xml:space="preserve"> PRB allocation actually hurts PUCCH performance in this case. </w:t>
      </w:r>
    </w:p>
    <w:p w14:paraId="7DEFB815" w14:textId="07128027" w:rsidR="00354E8B" w:rsidRDefault="001F4FA5" w:rsidP="00451250">
      <w:pPr>
        <w:jc w:val="center"/>
      </w:pPr>
      <w:r>
        <w:object w:dxaOrig="9172" w:dyaOrig="2744" w14:anchorId="17D2D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28.15pt" o:ole="">
            <v:imagedata r:id="rId12" o:title=""/>
          </v:shape>
          <o:OLEObject Type="Embed" ProgID="Visio.Drawing.11" ShapeID="_x0000_i1025" DrawAspect="Content" ObjectID="_1566647004" r:id="rId13"/>
        </w:object>
      </w:r>
    </w:p>
    <w:p w14:paraId="7595668C" w14:textId="3170F27D" w:rsidR="00354E8B" w:rsidRDefault="00FE579F" w:rsidP="00354E8B">
      <w:pPr>
        <w:jc w:val="center"/>
        <w:rPr>
          <w:b/>
        </w:rPr>
      </w:pPr>
      <w:r>
        <w:t xml:space="preserve"> </w:t>
      </w:r>
      <w:bookmarkStart w:id="5" w:name="_Ref477973495"/>
      <w:r w:rsidR="00354E8B" w:rsidRPr="004D5E14">
        <w:rPr>
          <w:b/>
        </w:rPr>
        <w:t xml:space="preserve">Figure </w:t>
      </w:r>
      <w:r w:rsidR="00354E8B" w:rsidRPr="004D5E14">
        <w:rPr>
          <w:b/>
        </w:rPr>
        <w:fldChar w:fldCharType="begin"/>
      </w:r>
      <w:r w:rsidR="00354E8B" w:rsidRPr="004D5E14">
        <w:rPr>
          <w:b/>
        </w:rPr>
        <w:instrText xml:space="preserve"> SEQ Figure \* ARABIC </w:instrText>
      </w:r>
      <w:r w:rsidR="00354E8B" w:rsidRPr="004D5E14">
        <w:rPr>
          <w:b/>
        </w:rPr>
        <w:fldChar w:fldCharType="separate"/>
      </w:r>
      <w:r w:rsidR="00354E8B">
        <w:rPr>
          <w:b/>
          <w:noProof/>
        </w:rPr>
        <w:t>1</w:t>
      </w:r>
      <w:r w:rsidR="00354E8B" w:rsidRPr="004D5E14">
        <w:rPr>
          <w:b/>
          <w:noProof/>
        </w:rPr>
        <w:fldChar w:fldCharType="end"/>
      </w:r>
      <w:bookmarkEnd w:id="5"/>
      <w:r w:rsidR="00354E8B" w:rsidRPr="004D5E14">
        <w:rPr>
          <w:b/>
        </w:rPr>
        <w:t xml:space="preserve">: </w:t>
      </w:r>
      <w:r w:rsidR="00354E8B">
        <w:rPr>
          <w:b/>
        </w:rPr>
        <w:t>Non-contiguous PRB allocation with largest MPR</w:t>
      </w:r>
      <w:r w:rsidR="00354E8B" w:rsidRPr="004D5E14">
        <w:rPr>
          <w:b/>
        </w:rPr>
        <w:t>.</w:t>
      </w:r>
    </w:p>
    <w:p w14:paraId="5BEF3B42" w14:textId="22248229" w:rsidR="00A472F9" w:rsidRDefault="00F44200" w:rsidP="0015796F">
      <w:pPr>
        <w:jc w:val="both"/>
      </w:pPr>
      <w:r>
        <w:t xml:space="preserve">Fortunately, </w:t>
      </w:r>
      <w:r w:rsidR="0016419B">
        <w:t xml:space="preserve">it is possible to reduce the MPR </w:t>
      </w:r>
      <w:r>
        <w:t>by changing the PRB allocation</w:t>
      </w:r>
      <w:r w:rsidR="0016419B">
        <w:t xml:space="preserve"> pattern</w:t>
      </w:r>
      <w:r>
        <w:t>. For example,</w:t>
      </w:r>
      <w:r w:rsidR="0016419B">
        <w:t xml:space="preserve"> by applying the non-contiguous PRB allocation as shown in </w:t>
      </w:r>
      <w:r w:rsidR="0016419B">
        <w:fldChar w:fldCharType="begin"/>
      </w:r>
      <w:r w:rsidR="0016419B">
        <w:instrText xml:space="preserve"> REF _Ref481679772 \h </w:instrText>
      </w:r>
      <w:r w:rsidR="0016419B">
        <w:fldChar w:fldCharType="separate"/>
      </w:r>
      <w:r w:rsidR="0016419B" w:rsidRPr="004D5E14">
        <w:rPr>
          <w:b/>
        </w:rPr>
        <w:t xml:space="preserve">Figure </w:t>
      </w:r>
      <w:r w:rsidR="0016419B">
        <w:rPr>
          <w:b/>
          <w:noProof/>
        </w:rPr>
        <w:t>2</w:t>
      </w:r>
      <w:r w:rsidR="0016419B">
        <w:fldChar w:fldCharType="end"/>
      </w:r>
      <w:r w:rsidR="0016419B">
        <w:t>, the MPR can be reduced to 5.4dB</w:t>
      </w:r>
      <w:r w:rsidR="004760DD">
        <w:t xml:space="preserve"> </w:t>
      </w:r>
      <w:r w:rsidR="004760DD">
        <w:fldChar w:fldCharType="begin"/>
      </w:r>
      <w:r w:rsidR="004760DD">
        <w:instrText xml:space="preserve"> REF _Ref481679572 \r \h </w:instrText>
      </w:r>
      <w:r w:rsidR="004760DD">
        <w:fldChar w:fldCharType="separate"/>
      </w:r>
      <w:r w:rsidR="004760DD">
        <w:t>[4]</w:t>
      </w:r>
      <w:r w:rsidR="004760DD">
        <w:fldChar w:fldCharType="end"/>
      </w:r>
      <w:r w:rsidR="0016419B">
        <w:t xml:space="preserve">. 5.4dB is still a large MPR which offset the PUCCH </w:t>
      </w:r>
      <w:r w:rsidR="0077583C">
        <w:t>diversity</w:t>
      </w:r>
      <w:r w:rsidR="0016419B">
        <w:t xml:space="preserve"> gain. But at least it shows that by moving the non-contiguous PRBs closer to each other, the MPR can be reduced. </w:t>
      </w:r>
      <w:r w:rsidR="00153F75">
        <w:t>We believe that by further reduce the distance between these two non-</w:t>
      </w:r>
      <w:r w:rsidR="0077583C">
        <w:t>contiguous</w:t>
      </w:r>
      <w:r w:rsidR="00153F75">
        <w:t xml:space="preserve"> PRBs, the MPR can be further reduced. </w:t>
      </w:r>
    </w:p>
    <w:p w14:paraId="762C6BE7" w14:textId="39397279" w:rsidR="0016419B" w:rsidRDefault="00776D93" w:rsidP="0016419B">
      <w:pPr>
        <w:jc w:val="center"/>
      </w:pPr>
      <w:r w:rsidRPr="00776D93">
        <w:rPr>
          <w:b/>
        </w:rPr>
        <w:object w:dxaOrig="8368" w:dyaOrig="2506" w14:anchorId="17E6392F">
          <v:shape id="_x0000_i1026" type="#_x0000_t75" style="width:440.55pt;height:117.45pt" o:ole="">
            <v:imagedata r:id="rId14" o:title=""/>
          </v:shape>
          <o:OLEObject Type="Embed" ProgID="Visio.Drawing.11" ShapeID="_x0000_i1026" DrawAspect="Content" ObjectID="_1566647005" r:id="rId15"/>
        </w:object>
      </w:r>
    </w:p>
    <w:p w14:paraId="21348717" w14:textId="2CFEB78A" w:rsidR="0016419B" w:rsidRDefault="0016419B" w:rsidP="0016419B">
      <w:pPr>
        <w:jc w:val="center"/>
        <w:rPr>
          <w:b/>
        </w:rPr>
      </w:pPr>
      <w:r>
        <w:t xml:space="preserve"> </w:t>
      </w:r>
      <w:bookmarkStart w:id="6" w:name="_Ref481679772"/>
      <w:bookmarkStart w:id="7" w:name="_Ref48167976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bookmarkEnd w:id="6"/>
      <w:r w:rsidRPr="004D5E14">
        <w:rPr>
          <w:b/>
        </w:rPr>
        <w:t xml:space="preserve">: </w:t>
      </w:r>
      <w:r>
        <w:rPr>
          <w:b/>
        </w:rPr>
        <w:t>Non-contiguous PRB allocation with MPR</w:t>
      </w:r>
      <w:r w:rsidRPr="004D5E14">
        <w:rPr>
          <w:b/>
        </w:rPr>
        <w:t>.</w:t>
      </w:r>
      <w:bookmarkEnd w:id="7"/>
    </w:p>
    <w:p w14:paraId="4A092D35" w14:textId="3BA61D1D" w:rsidR="00DC2A25" w:rsidRDefault="00752AC5" w:rsidP="0015796F">
      <w:pPr>
        <w:jc w:val="both"/>
      </w:pPr>
      <w:r>
        <w:lastRenderedPageBreak/>
        <w:t xml:space="preserve">Therefore, Ran1 should carefully study the trade-off between diversity gain and the MPR of non-contiguous PRB allocation for CP-OFDM based UL transmissions. Certain constraints need to be applied to exclude those non-contiguous PRB allocations which have very large MPR. </w:t>
      </w:r>
    </w:p>
    <w:p w14:paraId="03B6B000" w14:textId="221A3CEF" w:rsidR="00003EB8" w:rsidRPr="00992B60" w:rsidRDefault="00003EB8" w:rsidP="00F17042">
      <w:pPr>
        <w:jc w:val="both"/>
        <w:rPr>
          <w:b/>
          <w:i/>
          <w:lang w:val="en-GB"/>
        </w:rPr>
      </w:pPr>
      <w:bookmarkStart w:id="8" w:name="_Ref463027406"/>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End w:id="3"/>
      <w:bookmarkEnd w:id="4"/>
      <w:r>
        <w:rPr>
          <w:b/>
          <w:i/>
          <w:u w:val="single"/>
          <w:lang w:val="en-GB"/>
        </w:rPr>
        <w:t>Observation</w:t>
      </w:r>
      <w:r w:rsidRPr="00FA6B61">
        <w:rPr>
          <w:b/>
          <w:i/>
          <w:u w:val="single"/>
          <w:lang w:val="en-GB"/>
        </w:rPr>
        <w:t xml:space="preserve"> </w:t>
      </w:r>
      <w:r>
        <w:rPr>
          <w:b/>
          <w:i/>
          <w:u w:val="single"/>
          <w:lang w:val="en-GB"/>
        </w:rPr>
        <w:t>1</w:t>
      </w:r>
      <w:r w:rsidRPr="00FA6B61">
        <w:rPr>
          <w:b/>
          <w:i/>
          <w:u w:val="single"/>
          <w:lang w:val="en-GB"/>
        </w:rPr>
        <w:t>:</w:t>
      </w:r>
      <w:r w:rsidRPr="00FA6B61">
        <w:rPr>
          <w:b/>
          <w:i/>
          <w:lang w:val="en-GB"/>
        </w:rPr>
        <w:t xml:space="preserve"> </w:t>
      </w:r>
      <w:r w:rsidR="00073C9B">
        <w:rPr>
          <w:b/>
          <w:i/>
          <w:lang w:val="en-GB"/>
        </w:rPr>
        <w:t>Certain n</w:t>
      </w:r>
      <w:r>
        <w:rPr>
          <w:b/>
          <w:i/>
          <w:lang w:val="en-GB"/>
        </w:rPr>
        <w:t>on-contiguous PRB allocation</w:t>
      </w:r>
      <w:r w:rsidR="00073C9B">
        <w:rPr>
          <w:b/>
          <w:i/>
          <w:lang w:val="en-GB"/>
        </w:rPr>
        <w:t xml:space="preserve"> patterns</w:t>
      </w:r>
      <w:r>
        <w:rPr>
          <w:b/>
          <w:i/>
          <w:lang w:val="en-GB"/>
        </w:rPr>
        <w:t xml:space="preserve"> for CP-OFDM based UL </w:t>
      </w:r>
      <w:r w:rsidR="00992B60">
        <w:rPr>
          <w:b/>
          <w:i/>
          <w:lang w:val="en-GB"/>
        </w:rPr>
        <w:t>transmission suffer from large MPR</w:t>
      </w:r>
      <w:r>
        <w:rPr>
          <w:b/>
          <w:i/>
          <w:lang w:val="en-GB"/>
        </w:rPr>
        <w:t>.</w:t>
      </w:r>
    </w:p>
    <w:p w14:paraId="4F7642FA" w14:textId="7C2C93E8" w:rsidR="00AF1A25" w:rsidRDefault="00AF1A25" w:rsidP="00AF1A25">
      <w:pPr>
        <w:pStyle w:val="Heading1"/>
        <w:jc w:val="both"/>
      </w:pPr>
      <w:bookmarkStart w:id="16" w:name="_Ref465963195"/>
      <w:bookmarkStart w:id="17" w:name="_Ref466040522"/>
      <w:r>
        <w:t>Channel estimation loss with non-contiguous PRBs</w:t>
      </w:r>
    </w:p>
    <w:p w14:paraId="439163AC" w14:textId="6A7CCE14" w:rsidR="00AF1A25" w:rsidRPr="00AF1A25" w:rsidRDefault="00AF1A25" w:rsidP="00AF1A25">
      <w:pPr>
        <w:rPr>
          <w:lang w:val="en-GB"/>
        </w:rPr>
      </w:pPr>
      <w:r>
        <w:rPr>
          <w:lang w:val="en-GB"/>
        </w:rPr>
        <w:t xml:space="preserve">Another aspect of non-contiguous PRB allocation </w:t>
      </w:r>
      <w:r w:rsidR="00721EAE">
        <w:rPr>
          <w:lang w:val="en-GB"/>
        </w:rPr>
        <w:t>is the potential channel estimation loss due to non-</w:t>
      </w:r>
      <w:r w:rsidR="0077583C">
        <w:rPr>
          <w:lang w:val="en-GB"/>
        </w:rPr>
        <w:t>contiguous</w:t>
      </w:r>
      <w:r w:rsidR="00721EAE">
        <w:rPr>
          <w:lang w:val="en-GB"/>
        </w:rPr>
        <w:t xml:space="preserve"> PRB allocation. When RBs are </w:t>
      </w:r>
      <w:r w:rsidR="0077583C">
        <w:rPr>
          <w:lang w:val="en-GB"/>
        </w:rPr>
        <w:t>distributed</w:t>
      </w:r>
      <w:r w:rsidR="00721EAE">
        <w:rPr>
          <w:lang w:val="en-GB"/>
        </w:rPr>
        <w:t xml:space="preserve"> in multiple clusters, localized channel estimation within each cluster will lose some processing gain, comparing to joint channel estimation which can utilize all RBs if they are contiguously assigned in one single cluster. </w:t>
      </w:r>
      <w:r w:rsidR="00DE77AF">
        <w:rPr>
          <w:lang w:val="en-GB"/>
        </w:rPr>
        <w:t>Therefore, although non-</w:t>
      </w:r>
      <w:r w:rsidR="0077583C">
        <w:rPr>
          <w:lang w:val="en-GB"/>
        </w:rPr>
        <w:t>contiguous</w:t>
      </w:r>
      <w:r w:rsidR="00DE77AF">
        <w:rPr>
          <w:lang w:val="en-GB"/>
        </w:rPr>
        <w:t xml:space="preserve"> PRB allocation may provide some </w:t>
      </w:r>
      <w:r w:rsidR="0077583C">
        <w:rPr>
          <w:lang w:val="en-GB"/>
        </w:rPr>
        <w:t>diversity</w:t>
      </w:r>
      <w:r w:rsidR="00DE77AF">
        <w:rPr>
          <w:lang w:val="en-GB"/>
        </w:rPr>
        <w:t xml:space="preserve"> gain, the gain can be offset by channel estimation loss. </w:t>
      </w:r>
    </w:p>
    <w:p w14:paraId="605930C9" w14:textId="4A5EC889" w:rsidR="00721EAE" w:rsidRDefault="00721EAE" w:rsidP="00721EAE">
      <w:pPr>
        <w:rPr>
          <w:lang w:val="en-GB"/>
        </w:rPr>
      </w:pPr>
      <w:r>
        <w:rPr>
          <w:lang w:val="en-GB"/>
        </w:rPr>
        <w:t xml:space="preserve">In this section, to illustrate the </w:t>
      </w:r>
      <w:r w:rsidR="0077583C">
        <w:rPr>
          <w:lang w:val="en-GB"/>
        </w:rPr>
        <w:t>trade-off</w:t>
      </w:r>
      <w:r>
        <w:rPr>
          <w:lang w:val="en-GB"/>
        </w:rPr>
        <w:t xml:space="preserve"> between frequency diversi</w:t>
      </w:r>
      <w:r w:rsidR="00DE77AF">
        <w:rPr>
          <w:lang w:val="en-GB"/>
        </w:rPr>
        <w:t xml:space="preserve">ty gain </w:t>
      </w:r>
      <w:r>
        <w:rPr>
          <w:lang w:val="en-GB"/>
        </w:rPr>
        <w:t xml:space="preserve">and channel estimation </w:t>
      </w:r>
      <w:r w:rsidR="00DE77AF">
        <w:rPr>
          <w:lang w:val="en-GB"/>
        </w:rPr>
        <w:t>loss</w:t>
      </w:r>
      <w:r>
        <w:rPr>
          <w:lang w:val="en-GB"/>
        </w:rPr>
        <w:t xml:space="preserve">, the ACK/NACK decoding performance is studied with the following three different </w:t>
      </w:r>
      <w:r w:rsidR="007B6046">
        <w:rPr>
          <w:lang w:val="en-GB"/>
        </w:rPr>
        <w:t>PRB allocation for ACK/NACK</w:t>
      </w:r>
      <w:r>
        <w:rPr>
          <w:lang w:val="en-GB"/>
        </w:rPr>
        <w:t xml:space="preserve">, as shown in </w:t>
      </w:r>
      <w:r>
        <w:rPr>
          <w:lang w:val="en-GB"/>
        </w:rPr>
        <w:fldChar w:fldCharType="begin"/>
      </w:r>
      <w:r>
        <w:rPr>
          <w:lang w:val="en-GB"/>
        </w:rPr>
        <w:instrText xml:space="preserve"> REF _Ref465868579 \h </w:instrText>
      </w:r>
      <w:r>
        <w:rPr>
          <w:lang w:val="en-GB"/>
        </w:rPr>
      </w:r>
      <w:r>
        <w:rPr>
          <w:lang w:val="en-GB"/>
        </w:rPr>
        <w:fldChar w:fldCharType="separate"/>
      </w:r>
      <w:r w:rsidRPr="004D5E14">
        <w:rPr>
          <w:b/>
        </w:rPr>
        <w:t xml:space="preserve">Figure </w:t>
      </w:r>
      <w:r>
        <w:rPr>
          <w:b/>
          <w:noProof/>
        </w:rPr>
        <w:t>7</w:t>
      </w:r>
      <w:r>
        <w:rPr>
          <w:lang w:val="en-GB"/>
        </w:rPr>
        <w:fldChar w:fldCharType="end"/>
      </w:r>
      <w:r>
        <w:rPr>
          <w:lang w:val="en-GB"/>
        </w:rPr>
        <w:t xml:space="preserve">. </w:t>
      </w:r>
    </w:p>
    <w:p w14:paraId="58B17E23" w14:textId="4A2DC2FD" w:rsidR="00721EAE" w:rsidRPr="002257F6" w:rsidRDefault="00721EAE" w:rsidP="007B6046">
      <w:pPr>
        <w:pStyle w:val="ListParagraph"/>
        <w:numPr>
          <w:ilvl w:val="0"/>
          <w:numId w:val="11"/>
        </w:numPr>
        <w:rPr>
          <w:sz w:val="20"/>
          <w:szCs w:val="20"/>
          <w:lang w:val="en-GB"/>
        </w:rPr>
      </w:pPr>
      <w:r w:rsidRPr="002257F6">
        <w:rPr>
          <w:sz w:val="20"/>
          <w:szCs w:val="20"/>
          <w:lang w:val="en-GB"/>
        </w:rPr>
        <w:t xml:space="preserve">Type 0 has good frequency diversity but suffers </w:t>
      </w:r>
      <w:r w:rsidR="004C55BA" w:rsidRPr="002257F6">
        <w:rPr>
          <w:sz w:val="20"/>
          <w:szCs w:val="20"/>
          <w:lang w:val="en-GB"/>
        </w:rPr>
        <w:t xml:space="preserve">from channel estimation loss and </w:t>
      </w:r>
      <w:r w:rsidRPr="002257F6">
        <w:rPr>
          <w:sz w:val="20"/>
          <w:szCs w:val="20"/>
          <w:lang w:val="en-GB"/>
        </w:rPr>
        <w:t>high</w:t>
      </w:r>
      <w:r w:rsidR="000C5B6B" w:rsidRPr="002257F6">
        <w:rPr>
          <w:sz w:val="20"/>
          <w:szCs w:val="20"/>
          <w:lang w:val="en-GB"/>
        </w:rPr>
        <w:t>est</w:t>
      </w:r>
      <w:r w:rsidRPr="002257F6">
        <w:rPr>
          <w:sz w:val="20"/>
          <w:szCs w:val="20"/>
          <w:lang w:val="en-GB"/>
        </w:rPr>
        <w:t xml:space="preserve"> </w:t>
      </w:r>
      <w:r w:rsidR="000C5B6B" w:rsidRPr="002257F6">
        <w:rPr>
          <w:sz w:val="20"/>
          <w:szCs w:val="20"/>
          <w:lang w:val="en-GB"/>
        </w:rPr>
        <w:t>MPR</w:t>
      </w:r>
      <w:r w:rsidRPr="002257F6">
        <w:rPr>
          <w:sz w:val="20"/>
          <w:szCs w:val="20"/>
          <w:lang w:val="en-GB"/>
        </w:rPr>
        <w:t xml:space="preserve">. </w:t>
      </w:r>
    </w:p>
    <w:p w14:paraId="2881F298" w14:textId="2B332515" w:rsidR="007B6046" w:rsidRPr="002257F6" w:rsidRDefault="00721EAE" w:rsidP="007B6046">
      <w:pPr>
        <w:pStyle w:val="ListParagraph"/>
        <w:numPr>
          <w:ilvl w:val="0"/>
          <w:numId w:val="11"/>
        </w:numPr>
        <w:rPr>
          <w:sz w:val="20"/>
          <w:szCs w:val="20"/>
          <w:lang w:val="en-GB"/>
        </w:rPr>
      </w:pPr>
      <w:r w:rsidRPr="002257F6">
        <w:rPr>
          <w:sz w:val="20"/>
          <w:szCs w:val="20"/>
          <w:lang w:val="en-GB"/>
        </w:rPr>
        <w:t xml:space="preserve">Type 1 </w:t>
      </w:r>
      <w:r w:rsidR="000C5B6B" w:rsidRPr="002257F6">
        <w:rPr>
          <w:sz w:val="20"/>
          <w:szCs w:val="20"/>
          <w:lang w:val="en-GB"/>
        </w:rPr>
        <w:t>has smallest frequency diversity</w:t>
      </w:r>
      <w:r w:rsidR="004C55BA" w:rsidRPr="002257F6">
        <w:rPr>
          <w:sz w:val="20"/>
          <w:szCs w:val="20"/>
          <w:lang w:val="en-GB"/>
        </w:rPr>
        <w:t xml:space="preserve"> but better channel estimation gain and smaller MPR</w:t>
      </w:r>
      <w:r w:rsidRPr="002257F6">
        <w:rPr>
          <w:sz w:val="20"/>
          <w:szCs w:val="20"/>
          <w:lang w:val="en-GB"/>
        </w:rPr>
        <w:t xml:space="preserve">. </w:t>
      </w:r>
    </w:p>
    <w:p w14:paraId="2C40ECDE" w14:textId="42F28C0A" w:rsidR="00721EAE" w:rsidRPr="002257F6" w:rsidRDefault="007B6046" w:rsidP="007B6046">
      <w:pPr>
        <w:pStyle w:val="ListParagraph"/>
        <w:numPr>
          <w:ilvl w:val="1"/>
          <w:numId w:val="11"/>
        </w:numPr>
        <w:rPr>
          <w:sz w:val="20"/>
          <w:szCs w:val="20"/>
          <w:lang w:val="en-GB"/>
        </w:rPr>
      </w:pPr>
      <w:r w:rsidRPr="002257F6">
        <w:rPr>
          <w:sz w:val="20"/>
          <w:szCs w:val="20"/>
          <w:lang w:val="en-GB"/>
        </w:rPr>
        <w:t>T</w:t>
      </w:r>
      <w:r w:rsidR="00721EAE" w:rsidRPr="002257F6">
        <w:rPr>
          <w:sz w:val="20"/>
          <w:szCs w:val="20"/>
          <w:lang w:val="en-GB"/>
        </w:rPr>
        <w:t xml:space="preserve">he </w:t>
      </w:r>
      <w:r w:rsidR="0077583C" w:rsidRPr="002257F6">
        <w:rPr>
          <w:sz w:val="20"/>
          <w:szCs w:val="20"/>
          <w:lang w:val="en-GB"/>
        </w:rPr>
        <w:t>localized</w:t>
      </w:r>
      <w:r w:rsidR="00721EAE" w:rsidRPr="002257F6">
        <w:rPr>
          <w:sz w:val="20"/>
          <w:szCs w:val="20"/>
          <w:lang w:val="en-GB"/>
        </w:rPr>
        <w:t xml:space="preserve"> PUCCH </w:t>
      </w:r>
      <w:r w:rsidR="000C5B6B" w:rsidRPr="002257F6">
        <w:rPr>
          <w:sz w:val="20"/>
          <w:szCs w:val="20"/>
          <w:lang w:val="en-GB"/>
        </w:rPr>
        <w:t>PRBs</w:t>
      </w:r>
      <w:r w:rsidR="00721EAE" w:rsidRPr="002257F6">
        <w:rPr>
          <w:sz w:val="20"/>
          <w:szCs w:val="20"/>
          <w:lang w:val="en-GB"/>
        </w:rPr>
        <w:t xml:space="preserve"> can be either static or dynamically scheduled by eNB. The latter can explore the frequency selective scheduling gain.</w:t>
      </w:r>
    </w:p>
    <w:p w14:paraId="51CBC68E" w14:textId="1B7F9FFA" w:rsidR="00721EAE" w:rsidRPr="002257F6" w:rsidRDefault="00721EAE" w:rsidP="007B6046">
      <w:pPr>
        <w:pStyle w:val="ListParagraph"/>
        <w:numPr>
          <w:ilvl w:val="0"/>
          <w:numId w:val="11"/>
        </w:numPr>
        <w:rPr>
          <w:sz w:val="20"/>
          <w:szCs w:val="20"/>
          <w:lang w:val="en-GB"/>
        </w:rPr>
      </w:pPr>
      <w:r w:rsidRPr="002257F6">
        <w:rPr>
          <w:sz w:val="20"/>
          <w:szCs w:val="20"/>
          <w:lang w:val="en-GB"/>
        </w:rPr>
        <w:t xml:space="preserve">Type 2 is a hybrid version of type 0 and type 1. Comparing with type 0, it </w:t>
      </w:r>
      <w:r w:rsidR="004C55BA" w:rsidRPr="002257F6">
        <w:rPr>
          <w:sz w:val="20"/>
          <w:szCs w:val="20"/>
          <w:lang w:val="en-GB"/>
        </w:rPr>
        <w:t xml:space="preserve">has </w:t>
      </w:r>
      <w:r w:rsidRPr="002257F6">
        <w:rPr>
          <w:sz w:val="20"/>
          <w:szCs w:val="20"/>
          <w:lang w:val="en-GB"/>
        </w:rPr>
        <w:t>less frequency diversity</w:t>
      </w:r>
      <w:r w:rsidR="004C55BA" w:rsidRPr="002257F6">
        <w:rPr>
          <w:sz w:val="20"/>
          <w:szCs w:val="20"/>
          <w:lang w:val="en-GB"/>
        </w:rPr>
        <w:t xml:space="preserve"> but smaller MPR</w:t>
      </w:r>
      <w:r w:rsidRPr="002257F6">
        <w:rPr>
          <w:sz w:val="20"/>
          <w:szCs w:val="20"/>
          <w:lang w:val="en-GB"/>
        </w:rPr>
        <w:t xml:space="preserve">. Comparing with type 1, it has </w:t>
      </w:r>
      <w:r w:rsidR="00E8146C" w:rsidRPr="002257F6">
        <w:rPr>
          <w:sz w:val="20"/>
          <w:szCs w:val="20"/>
          <w:lang w:val="en-GB"/>
        </w:rPr>
        <w:t>higher</w:t>
      </w:r>
      <w:r w:rsidR="007B6046" w:rsidRPr="002257F6">
        <w:rPr>
          <w:sz w:val="20"/>
          <w:szCs w:val="20"/>
          <w:lang w:val="en-GB"/>
        </w:rPr>
        <w:t xml:space="preserve"> frequency diversity</w:t>
      </w:r>
      <w:r w:rsidR="004C55BA" w:rsidRPr="002257F6">
        <w:rPr>
          <w:sz w:val="20"/>
          <w:szCs w:val="20"/>
          <w:lang w:val="en-GB"/>
        </w:rPr>
        <w:t xml:space="preserve"> gain but larger MPR</w:t>
      </w:r>
      <w:r w:rsidRPr="002257F6">
        <w:rPr>
          <w:sz w:val="20"/>
          <w:szCs w:val="20"/>
          <w:lang w:val="en-GB"/>
        </w:rPr>
        <w:t xml:space="preserve">. </w:t>
      </w:r>
    </w:p>
    <w:p w14:paraId="118D217C" w14:textId="51B21AD1" w:rsidR="00721EAE" w:rsidRDefault="002257F6" w:rsidP="00721EAE">
      <w:pPr>
        <w:jc w:val="center"/>
      </w:pPr>
      <w:r>
        <w:object w:dxaOrig="19411" w:dyaOrig="13700" w14:anchorId="72090D89">
          <v:shape id="_x0000_i1027" type="#_x0000_t75" style="width:444.45pt;height:202.7pt" o:ole="">
            <v:imagedata r:id="rId16" o:title=""/>
          </v:shape>
          <o:OLEObject Type="Embed" ProgID="Visio.Drawing.11" ShapeID="_x0000_i1027" DrawAspect="Content" ObjectID="_1566647006" r:id="rId17"/>
        </w:object>
      </w:r>
    </w:p>
    <w:p w14:paraId="6E4A5B19" w14:textId="145AFB82" w:rsidR="00721EAE" w:rsidRPr="005E4E67" w:rsidRDefault="00721EAE" w:rsidP="00721EAE">
      <w:pPr>
        <w:jc w:val="center"/>
        <w:rPr>
          <w:b/>
        </w:rPr>
      </w:pPr>
      <w:bookmarkStart w:id="18" w:name="_Ref465868579"/>
      <w:bookmarkStart w:id="19" w:name="_Ref46586857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DE77AF">
        <w:rPr>
          <w:b/>
          <w:noProof/>
        </w:rPr>
        <w:t>3</w:t>
      </w:r>
      <w:r w:rsidRPr="004D5E14">
        <w:rPr>
          <w:b/>
          <w:noProof/>
        </w:rPr>
        <w:fldChar w:fldCharType="end"/>
      </w:r>
      <w:bookmarkEnd w:id="18"/>
      <w:r w:rsidRPr="004D5E14">
        <w:rPr>
          <w:b/>
        </w:rPr>
        <w:t xml:space="preserve">: </w:t>
      </w:r>
      <w:r>
        <w:rPr>
          <w:b/>
        </w:rPr>
        <w:t>PUCCH structure types in short UL duration</w:t>
      </w:r>
      <w:r w:rsidRPr="004D5E14">
        <w:rPr>
          <w:b/>
        </w:rPr>
        <w:t>.</w:t>
      </w:r>
      <w:bookmarkEnd w:id="19"/>
    </w:p>
    <w:p w14:paraId="3595D21B" w14:textId="60BBE4B3" w:rsidR="00721EAE" w:rsidRDefault="00721EAE" w:rsidP="00721EAE">
      <w:r>
        <w:t xml:space="preserve">In the following, the simulation results of ACK/NACK decoding error with different </w:t>
      </w:r>
      <w:r w:rsidR="00003EB8">
        <w:t xml:space="preserve">PRB assignment </w:t>
      </w:r>
      <w:r>
        <w:t xml:space="preserve">options are shown. In these simulations, </w:t>
      </w:r>
      <w:r w:rsidR="00DE77AF">
        <w:t>MPR is</w:t>
      </w:r>
      <w:r>
        <w:t xml:space="preserve"> not modeled. The interference from other users are not modeled neither. The schedule decision is based on perfect channel conditions. The delay </w:t>
      </w:r>
      <w:r w:rsidR="0077583C">
        <w:t>between</w:t>
      </w:r>
      <w:r>
        <w:t xml:space="preserve"> the scheduling decision and PUCCH transmission is 0.5ms. The whole system bandwidth is 80Mhz. The PUCCH sub-bandwidth for type 1 is 900kHz. The narrow bandwidth for type 2 is 5Mhz.</w:t>
      </w:r>
    </w:p>
    <w:p w14:paraId="4FAA31BF" w14:textId="77777777" w:rsidR="00721EAE" w:rsidRDefault="00721EAE" w:rsidP="00721EAE">
      <w:pPr>
        <w:jc w:val="center"/>
      </w:pPr>
      <w:r>
        <w:rPr>
          <w:noProof/>
          <w:lang w:eastAsia="zh-CN"/>
        </w:rPr>
        <w:lastRenderedPageBreak/>
        <w:drawing>
          <wp:inline distT="0" distB="0" distL="0" distR="0" wp14:anchorId="497436E7" wp14:editId="0A6B0520">
            <wp:extent cx="5271770" cy="2856864"/>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PA5_semi_static_sPUCCH.png"/>
                    <pic:cNvPicPr/>
                  </pic:nvPicPr>
                  <pic:blipFill>
                    <a:blip r:embed="rId18">
                      <a:extLst>
                        <a:ext uri="{28A0092B-C50C-407E-A947-70E740481C1C}">
                          <a14:useLocalDpi xmlns:a14="http://schemas.microsoft.com/office/drawing/2010/main" val="0"/>
                        </a:ext>
                      </a:extLst>
                    </a:blip>
                    <a:stretch>
                      <a:fillRect/>
                    </a:stretch>
                  </pic:blipFill>
                  <pic:spPr>
                    <a:xfrm>
                      <a:off x="0" y="0"/>
                      <a:ext cx="5276353" cy="2859348"/>
                    </a:xfrm>
                    <a:prstGeom prst="rect">
                      <a:avLst/>
                    </a:prstGeom>
                  </pic:spPr>
                </pic:pic>
              </a:graphicData>
            </a:graphic>
          </wp:inline>
        </w:drawing>
      </w:r>
    </w:p>
    <w:p w14:paraId="4F43415B"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8</w:t>
      </w:r>
      <w:r w:rsidRPr="004D5E14">
        <w:rPr>
          <w:b/>
          <w:noProof/>
        </w:rPr>
        <w:fldChar w:fldCharType="end"/>
      </w:r>
      <w:r w:rsidRPr="004D5E14">
        <w:rPr>
          <w:b/>
        </w:rPr>
        <w:t xml:space="preserve">: </w:t>
      </w:r>
      <w:r>
        <w:rPr>
          <w:b/>
        </w:rPr>
        <w:t>ACK/NACK performance with EPA5 low correlation channel</w:t>
      </w:r>
      <w:r w:rsidRPr="004D5E14">
        <w:rPr>
          <w:b/>
        </w:rPr>
        <w:t>.</w:t>
      </w:r>
    </w:p>
    <w:p w14:paraId="622F1926" w14:textId="77777777" w:rsidR="00721EAE" w:rsidRDefault="00721EAE" w:rsidP="00721EAE">
      <w:pPr>
        <w:jc w:val="center"/>
        <w:rPr>
          <w:b/>
        </w:rPr>
      </w:pPr>
      <w:r>
        <w:rPr>
          <w:b/>
          <w:noProof/>
          <w:lang w:eastAsia="zh-CN"/>
        </w:rPr>
        <w:drawing>
          <wp:inline distT="0" distB="0" distL="0" distR="0" wp14:anchorId="46B061DC" wp14:editId="77A70877">
            <wp:extent cx="5284660" cy="286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PA300_semi_static_sPUCCH.png"/>
                    <pic:cNvPicPr/>
                  </pic:nvPicPr>
                  <pic:blipFill>
                    <a:blip r:embed="rId19">
                      <a:extLst>
                        <a:ext uri="{28A0092B-C50C-407E-A947-70E740481C1C}">
                          <a14:useLocalDpi xmlns:a14="http://schemas.microsoft.com/office/drawing/2010/main" val="0"/>
                        </a:ext>
                      </a:extLst>
                    </a:blip>
                    <a:stretch>
                      <a:fillRect/>
                    </a:stretch>
                  </pic:blipFill>
                  <pic:spPr>
                    <a:xfrm>
                      <a:off x="0" y="0"/>
                      <a:ext cx="5319118" cy="2882522"/>
                    </a:xfrm>
                    <a:prstGeom prst="rect">
                      <a:avLst/>
                    </a:prstGeom>
                  </pic:spPr>
                </pic:pic>
              </a:graphicData>
            </a:graphic>
          </wp:inline>
        </w:drawing>
      </w:r>
    </w:p>
    <w:p w14:paraId="43E49F85"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9</w:t>
      </w:r>
      <w:r w:rsidRPr="004D5E14">
        <w:rPr>
          <w:b/>
          <w:noProof/>
        </w:rPr>
        <w:fldChar w:fldCharType="end"/>
      </w:r>
      <w:r w:rsidRPr="004D5E14">
        <w:rPr>
          <w:b/>
        </w:rPr>
        <w:t xml:space="preserve">: </w:t>
      </w:r>
      <w:r>
        <w:rPr>
          <w:b/>
        </w:rPr>
        <w:t>ACK/NACK performance with ETU5 low correlation channel</w:t>
      </w:r>
      <w:r w:rsidRPr="004D5E14">
        <w:rPr>
          <w:b/>
        </w:rPr>
        <w:t>.</w:t>
      </w:r>
    </w:p>
    <w:p w14:paraId="34C88D8E" w14:textId="77777777" w:rsidR="00721EAE" w:rsidRDefault="00721EAE" w:rsidP="00721EAE">
      <w:pPr>
        <w:jc w:val="center"/>
        <w:rPr>
          <w:b/>
        </w:rPr>
      </w:pPr>
      <w:r>
        <w:rPr>
          <w:b/>
          <w:noProof/>
          <w:lang w:eastAsia="zh-CN"/>
        </w:rPr>
        <w:lastRenderedPageBreak/>
        <w:drawing>
          <wp:inline distT="0" distB="0" distL="0" distR="0" wp14:anchorId="5DFCAB60" wp14:editId="41475C50">
            <wp:extent cx="4996407" cy="2707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U5_semi_static_sPUCCH.png"/>
                    <pic:cNvPicPr/>
                  </pic:nvPicPr>
                  <pic:blipFill>
                    <a:blip r:embed="rId20">
                      <a:extLst>
                        <a:ext uri="{28A0092B-C50C-407E-A947-70E740481C1C}">
                          <a14:useLocalDpi xmlns:a14="http://schemas.microsoft.com/office/drawing/2010/main" val="0"/>
                        </a:ext>
                      </a:extLst>
                    </a:blip>
                    <a:stretch>
                      <a:fillRect/>
                    </a:stretch>
                  </pic:blipFill>
                  <pic:spPr>
                    <a:xfrm>
                      <a:off x="0" y="0"/>
                      <a:ext cx="4999028" cy="2709060"/>
                    </a:xfrm>
                    <a:prstGeom prst="rect">
                      <a:avLst/>
                    </a:prstGeom>
                  </pic:spPr>
                </pic:pic>
              </a:graphicData>
            </a:graphic>
          </wp:inline>
        </w:drawing>
      </w:r>
    </w:p>
    <w:p w14:paraId="0CEB4B11"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10</w:t>
      </w:r>
      <w:r w:rsidRPr="004D5E14">
        <w:rPr>
          <w:b/>
          <w:noProof/>
        </w:rPr>
        <w:fldChar w:fldCharType="end"/>
      </w:r>
      <w:r w:rsidRPr="004D5E14">
        <w:rPr>
          <w:b/>
        </w:rPr>
        <w:t xml:space="preserve">: </w:t>
      </w:r>
      <w:r>
        <w:rPr>
          <w:b/>
        </w:rPr>
        <w:t>ACK/NACK performance with EPA300 low correlation channel</w:t>
      </w:r>
      <w:r w:rsidRPr="004D5E14">
        <w:rPr>
          <w:b/>
        </w:rPr>
        <w:t>.</w:t>
      </w:r>
    </w:p>
    <w:p w14:paraId="39AB93C8" w14:textId="77777777" w:rsidR="00721EAE" w:rsidRDefault="00721EAE" w:rsidP="00721EAE">
      <w:pPr>
        <w:jc w:val="center"/>
        <w:rPr>
          <w:b/>
        </w:rPr>
      </w:pPr>
      <w:r>
        <w:rPr>
          <w:b/>
          <w:noProof/>
          <w:lang w:eastAsia="zh-CN"/>
        </w:rPr>
        <w:drawing>
          <wp:inline distT="0" distB="0" distL="0" distR="0" wp14:anchorId="69AD4C1E" wp14:editId="384DF9AF">
            <wp:extent cx="5125117" cy="2777390"/>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TU300_semi_static_sPUCCH.png"/>
                    <pic:cNvPicPr/>
                  </pic:nvPicPr>
                  <pic:blipFill>
                    <a:blip r:embed="rId21">
                      <a:extLst>
                        <a:ext uri="{28A0092B-C50C-407E-A947-70E740481C1C}">
                          <a14:useLocalDpi xmlns:a14="http://schemas.microsoft.com/office/drawing/2010/main" val="0"/>
                        </a:ext>
                      </a:extLst>
                    </a:blip>
                    <a:stretch>
                      <a:fillRect/>
                    </a:stretch>
                  </pic:blipFill>
                  <pic:spPr>
                    <a:xfrm>
                      <a:off x="0" y="0"/>
                      <a:ext cx="5141135" cy="2786071"/>
                    </a:xfrm>
                    <a:prstGeom prst="rect">
                      <a:avLst/>
                    </a:prstGeom>
                  </pic:spPr>
                </pic:pic>
              </a:graphicData>
            </a:graphic>
          </wp:inline>
        </w:drawing>
      </w:r>
    </w:p>
    <w:p w14:paraId="065139E0" w14:textId="77777777" w:rsidR="00721EAE" w:rsidRPr="005E4E67"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11</w:t>
      </w:r>
      <w:r w:rsidRPr="004D5E14">
        <w:rPr>
          <w:b/>
          <w:noProof/>
        </w:rPr>
        <w:fldChar w:fldCharType="end"/>
      </w:r>
      <w:r w:rsidRPr="004D5E14">
        <w:rPr>
          <w:b/>
        </w:rPr>
        <w:t xml:space="preserve">: </w:t>
      </w:r>
      <w:r>
        <w:rPr>
          <w:b/>
        </w:rPr>
        <w:t>ACK/NACK performance with ETU300 low correlation channel</w:t>
      </w:r>
      <w:r w:rsidRPr="004D5E14">
        <w:rPr>
          <w:b/>
        </w:rPr>
        <w:t>.</w:t>
      </w:r>
    </w:p>
    <w:p w14:paraId="7525EE29" w14:textId="59FABC6B" w:rsidR="00721EAE" w:rsidRDefault="00721EAE" w:rsidP="00721EAE">
      <w:r>
        <w:t xml:space="preserve">If we </w:t>
      </w:r>
      <w:r w:rsidR="00992B60">
        <w:t>look at</w:t>
      </w:r>
      <w:r>
        <w:t xml:space="preserve"> the 0.1% ACK/NACK error rate, the </w:t>
      </w:r>
      <w:r w:rsidR="0077583C">
        <w:t>observations</w:t>
      </w:r>
      <w:r>
        <w:t xml:space="preserve"> based on the simulation results are the following:</w:t>
      </w:r>
    </w:p>
    <w:p w14:paraId="4B2E860B" w14:textId="79AC5CE4" w:rsidR="00721EAE" w:rsidRDefault="00721EAE" w:rsidP="00721EAE">
      <w:pPr>
        <w:pStyle w:val="ListParagraph"/>
        <w:numPr>
          <w:ilvl w:val="0"/>
          <w:numId w:val="10"/>
        </w:numPr>
      </w:pPr>
      <w:r>
        <w:t xml:space="preserve">Type 1 (localized </w:t>
      </w:r>
      <w:r w:rsidR="00003EB8">
        <w:t>PRB allocation</w:t>
      </w:r>
      <w:r>
        <w:t xml:space="preserve">) with dynamic scheduling has the best performance, except a fractional dB performance loss to type 0 or type 2 </w:t>
      </w:r>
      <w:r w:rsidR="00003EB8">
        <w:t>in</w:t>
      </w:r>
      <w:r>
        <w:t xml:space="preserve"> 300Hz Doppler scenario.  </w:t>
      </w:r>
    </w:p>
    <w:p w14:paraId="6B3ECC10" w14:textId="0B500D5B" w:rsidR="00992B60" w:rsidRDefault="00721EAE" w:rsidP="00721EAE">
      <w:pPr>
        <w:pStyle w:val="ListParagraph"/>
        <w:numPr>
          <w:ilvl w:val="0"/>
          <w:numId w:val="10"/>
        </w:numPr>
      </w:pPr>
      <w:r>
        <w:t xml:space="preserve">Even </w:t>
      </w:r>
      <w:r w:rsidR="00003EB8">
        <w:t>with static scheduling</w:t>
      </w:r>
      <w:r>
        <w:t xml:space="preserve">, type 1 </w:t>
      </w:r>
      <w:r w:rsidR="00003EB8">
        <w:t>(localized PRB allocation)</w:t>
      </w:r>
      <w:r>
        <w:t xml:space="preserve"> has just a fraction dB performance loss to type 0 in EPA channel, and about 1.5dB performance los</w:t>
      </w:r>
      <w:r w:rsidR="00003EB8">
        <w:t>s</w:t>
      </w:r>
      <w:r>
        <w:t xml:space="preserve"> to type 0 or type 2 in ETU channel.</w:t>
      </w:r>
    </w:p>
    <w:p w14:paraId="68BCA0D7" w14:textId="77777777" w:rsidR="00992B60" w:rsidRDefault="00992B60" w:rsidP="00721EAE"/>
    <w:p w14:paraId="65041078" w14:textId="2C0D50F3" w:rsidR="00992B60" w:rsidRDefault="00992B60" w:rsidP="00721EAE">
      <w:r>
        <w:t xml:space="preserve">If we look at lower SNR region, say 1% error rate, it can be found that type 1 (localize PRB allocation) with static scheduling outperforms type 0 by 0.5 dB in EPA channel. </w:t>
      </w:r>
    </w:p>
    <w:p w14:paraId="6722B0AC" w14:textId="37AC7BD9" w:rsidR="00992B60" w:rsidRDefault="00992B60" w:rsidP="00721EAE">
      <w:r>
        <w:rPr>
          <w:b/>
          <w:i/>
          <w:u w:val="single"/>
          <w:lang w:val="en-GB"/>
        </w:rPr>
        <w:t>Observation</w:t>
      </w:r>
      <w:r w:rsidRPr="00FA6B61">
        <w:rPr>
          <w:b/>
          <w:i/>
          <w:u w:val="single"/>
          <w:lang w:val="en-GB"/>
        </w:rPr>
        <w:t xml:space="preserve"> </w:t>
      </w:r>
      <w:r>
        <w:rPr>
          <w:b/>
          <w:i/>
          <w:u w:val="single"/>
          <w:lang w:val="en-GB"/>
        </w:rPr>
        <w:t>2</w:t>
      </w:r>
      <w:r w:rsidRPr="00FA6B61">
        <w:rPr>
          <w:b/>
          <w:i/>
          <w:u w:val="single"/>
          <w:lang w:val="en-GB"/>
        </w:rPr>
        <w:t>:</w:t>
      </w:r>
      <w:r w:rsidRPr="00FA6B61">
        <w:rPr>
          <w:b/>
          <w:i/>
          <w:lang w:val="en-GB"/>
        </w:rPr>
        <w:t xml:space="preserve"> </w:t>
      </w:r>
      <w:r>
        <w:rPr>
          <w:b/>
          <w:i/>
          <w:lang w:val="en-GB"/>
        </w:rPr>
        <w:t>Non-contiguous PRB allocation for CP-OFDM based UL transmission</w:t>
      </w:r>
      <w:r w:rsidR="00A2150D">
        <w:rPr>
          <w:b/>
          <w:i/>
          <w:lang w:val="en-GB"/>
        </w:rPr>
        <w:t xml:space="preserve"> may</w:t>
      </w:r>
      <w:r>
        <w:rPr>
          <w:b/>
          <w:i/>
          <w:lang w:val="en-GB"/>
        </w:rPr>
        <w:t xml:space="preserve"> suffer</w:t>
      </w:r>
      <w:r w:rsidR="00073C9B">
        <w:rPr>
          <w:b/>
          <w:i/>
          <w:lang w:val="en-GB"/>
        </w:rPr>
        <w:t>s</w:t>
      </w:r>
      <w:r>
        <w:rPr>
          <w:b/>
          <w:i/>
          <w:lang w:val="en-GB"/>
        </w:rPr>
        <w:t xml:space="preserve"> from channel estimation loss at low SNR region.</w:t>
      </w:r>
    </w:p>
    <w:p w14:paraId="02727CC6" w14:textId="139AD8BC" w:rsidR="00992B60" w:rsidRDefault="00992B60" w:rsidP="00721EAE">
      <w:r>
        <w:lastRenderedPageBreak/>
        <w:t xml:space="preserve">It should be noticed that the MPR is not modeled in the above simulations. </w:t>
      </w:r>
      <w:r w:rsidR="00721EAE">
        <w:t>Given the</w:t>
      </w:r>
      <w:r w:rsidR="00003EB8">
        <w:t xml:space="preserve"> much less</w:t>
      </w:r>
      <w:r w:rsidR="00721EAE">
        <w:t xml:space="preserve"> </w:t>
      </w:r>
      <w:r w:rsidR="00003EB8">
        <w:t>MPR for local</w:t>
      </w:r>
      <w:r w:rsidR="0077583C">
        <w:t>iz</w:t>
      </w:r>
      <w:r w:rsidR="00003EB8">
        <w:t>ed PRB allocation</w:t>
      </w:r>
      <w:r w:rsidR="00721EAE">
        <w:t>, the fraction dB or 1.5dB loss from type 1 to type 0/2 in some scenarios can be easily compensated back.</w:t>
      </w:r>
    </w:p>
    <w:p w14:paraId="76A595E4" w14:textId="0809E57B" w:rsidR="00721EAE" w:rsidRPr="005D6859" w:rsidRDefault="00992B60" w:rsidP="00721EAE">
      <w:r>
        <w:t xml:space="preserve">Based on the MPR issue and channel estimation loss observed for non-contiguous PRB allocations for CP-OFDM based UL transmission, we </w:t>
      </w:r>
      <w:r w:rsidR="002E3E7D">
        <w:t>propose</w:t>
      </w:r>
      <w:r>
        <w:t xml:space="preserve"> the follow.</w:t>
      </w:r>
      <w:r w:rsidR="00721EAE">
        <w:t xml:space="preserve">  </w:t>
      </w:r>
    </w:p>
    <w:p w14:paraId="1E4FAE32" w14:textId="77777777" w:rsidR="00441D80" w:rsidRDefault="00441D80" w:rsidP="00441D80">
      <w:pPr>
        <w:jc w:val="both"/>
        <w:rPr>
          <w:b/>
          <w:i/>
          <w:u w:val="single"/>
          <w:lang w:val="en-GB"/>
        </w:rPr>
      </w:pPr>
      <w:r w:rsidRPr="00FA6B61">
        <w:rPr>
          <w:b/>
          <w:i/>
          <w:u w:val="single"/>
          <w:lang w:val="en-GB"/>
        </w:rPr>
        <w:t xml:space="preserve">Proposal </w:t>
      </w:r>
      <w:r>
        <w:rPr>
          <w:b/>
          <w:i/>
          <w:u w:val="single"/>
          <w:lang w:val="en-GB"/>
        </w:rPr>
        <w:t>1</w:t>
      </w:r>
      <w:r w:rsidRPr="00FA6B61">
        <w:rPr>
          <w:b/>
          <w:i/>
          <w:u w:val="single"/>
          <w:lang w:val="en-GB"/>
        </w:rPr>
        <w:t>:</w:t>
      </w:r>
      <w:r w:rsidRPr="00FA6B61">
        <w:rPr>
          <w:b/>
          <w:i/>
          <w:lang w:val="en-GB"/>
        </w:rPr>
        <w:t xml:space="preserve"> </w:t>
      </w:r>
      <w:r>
        <w:rPr>
          <w:b/>
          <w:bCs/>
          <w:i/>
          <w:iCs/>
        </w:rPr>
        <w:t>Contiguous PRB allocation should be prioritized as baseline for CP-OFDM based UL transmission in release 15.</w:t>
      </w:r>
    </w:p>
    <w:p w14:paraId="43490115" w14:textId="406AE7D1" w:rsidR="00EB6F27" w:rsidRPr="00992B60" w:rsidRDefault="00441D80" w:rsidP="00EB6F27">
      <w:pPr>
        <w:jc w:val="both"/>
        <w:rPr>
          <w:b/>
          <w:i/>
          <w:lang w:val="en-GB"/>
        </w:rPr>
      </w:pPr>
      <w:r w:rsidRPr="00FA6B61">
        <w:rPr>
          <w:b/>
          <w:i/>
          <w:u w:val="single"/>
          <w:lang w:val="en-GB"/>
        </w:rPr>
        <w:t xml:space="preserve">Proposal </w:t>
      </w:r>
      <w:r>
        <w:rPr>
          <w:b/>
          <w:i/>
          <w:u w:val="single"/>
          <w:lang w:val="en-GB"/>
        </w:rPr>
        <w:t>2</w:t>
      </w:r>
      <w:r w:rsidRPr="00FA6B61">
        <w:rPr>
          <w:b/>
          <w:i/>
          <w:u w:val="single"/>
          <w:lang w:val="en-GB"/>
        </w:rPr>
        <w:t>:</w:t>
      </w:r>
      <w:r w:rsidRPr="00FA6B61">
        <w:rPr>
          <w:b/>
          <w:i/>
          <w:lang w:val="en-GB"/>
        </w:rPr>
        <w:t xml:space="preserve"> </w:t>
      </w:r>
      <w:r>
        <w:rPr>
          <w:b/>
          <w:i/>
          <w:lang w:val="en-GB"/>
        </w:rPr>
        <w:t>RAN 1 should study the trade-off among MPR, channel estimation loss, and diversity gain for non-contiguous PRB allocation for CP-OFDM based UL transmission</w:t>
      </w:r>
      <w:r w:rsidRPr="00FA6B61">
        <w:rPr>
          <w:b/>
          <w:i/>
          <w:lang w:val="en-GB"/>
        </w:rPr>
        <w:t>.</w:t>
      </w:r>
      <w:r>
        <w:rPr>
          <w:b/>
          <w:i/>
          <w:lang w:val="en-GB"/>
        </w:rPr>
        <w:t xml:space="preserve"> RAN 1 should send LS to RAN4 for MPR impact with non-contiguous PRB allocation.</w:t>
      </w:r>
    </w:p>
    <w:p w14:paraId="130A289D" w14:textId="5BDC54E2" w:rsidR="00E168E5" w:rsidRDefault="006341FE" w:rsidP="000A3CBA">
      <w:pPr>
        <w:pStyle w:val="Heading1"/>
        <w:jc w:val="both"/>
      </w:pPr>
      <w:r>
        <w:t>Conclusions</w:t>
      </w:r>
      <w:bookmarkEnd w:id="8"/>
      <w:bookmarkEnd w:id="16"/>
      <w:bookmarkEnd w:id="17"/>
    </w:p>
    <w:bookmarkEnd w:id="9"/>
    <w:bookmarkEnd w:id="10"/>
    <w:bookmarkEnd w:id="11"/>
    <w:bookmarkEnd w:id="12"/>
    <w:bookmarkEnd w:id="13"/>
    <w:bookmarkEnd w:id="14"/>
    <w:bookmarkEnd w:id="15"/>
    <w:p w14:paraId="2505F49F" w14:textId="4A0DC1D1" w:rsidR="00073C9B" w:rsidRDefault="00073C9B" w:rsidP="000A3CBA">
      <w:pPr>
        <w:jc w:val="both"/>
        <w:rPr>
          <w:lang w:val="en-GB"/>
        </w:rPr>
      </w:pPr>
      <w:r>
        <w:rPr>
          <w:lang w:val="en-GB"/>
        </w:rPr>
        <w:t xml:space="preserve">The following are observed for </w:t>
      </w:r>
      <w:r w:rsidRPr="000740E1">
        <w:rPr>
          <w:lang w:val="en-GB"/>
        </w:rPr>
        <w:t>non-contiguous PRB allocation in CP-OFDM based UL transmissions</w:t>
      </w:r>
      <w:r>
        <w:rPr>
          <w:lang w:val="en-GB"/>
        </w:rPr>
        <w:t>.</w:t>
      </w:r>
    </w:p>
    <w:p w14:paraId="6DFD447E" w14:textId="33D19C3A" w:rsidR="00073C9B" w:rsidRPr="00073C9B" w:rsidRDefault="00073C9B" w:rsidP="00073C9B">
      <w:pPr>
        <w:jc w:val="both"/>
        <w:rPr>
          <w:b/>
          <w:i/>
          <w:lang w:val="en-GB"/>
        </w:rPr>
      </w:pPr>
      <w:r>
        <w:rPr>
          <w:b/>
          <w:i/>
          <w:u w:val="single"/>
          <w:lang w:val="en-GB"/>
        </w:rPr>
        <w:t>Observation</w:t>
      </w:r>
      <w:r w:rsidRPr="00FA6B61">
        <w:rPr>
          <w:b/>
          <w:i/>
          <w:u w:val="single"/>
          <w:lang w:val="en-GB"/>
        </w:rPr>
        <w:t xml:space="preserve"> </w:t>
      </w:r>
      <w:r>
        <w:rPr>
          <w:b/>
          <w:i/>
          <w:u w:val="single"/>
          <w:lang w:val="en-GB"/>
        </w:rPr>
        <w:t>1</w:t>
      </w:r>
      <w:r w:rsidRPr="00FA6B61">
        <w:rPr>
          <w:b/>
          <w:i/>
          <w:u w:val="single"/>
          <w:lang w:val="en-GB"/>
        </w:rPr>
        <w:t>:</w:t>
      </w:r>
      <w:r w:rsidRPr="00FA6B61">
        <w:rPr>
          <w:b/>
          <w:i/>
          <w:lang w:val="en-GB"/>
        </w:rPr>
        <w:t xml:space="preserve"> </w:t>
      </w:r>
      <w:r>
        <w:rPr>
          <w:b/>
          <w:i/>
          <w:lang w:val="en-GB"/>
        </w:rPr>
        <w:t>Certain non-contiguous PRB allocation patterns for CP-OFDM based UL transmission suffer from large MPR.</w:t>
      </w:r>
    </w:p>
    <w:p w14:paraId="5F5B8ED8" w14:textId="77777777" w:rsidR="00AB55E8" w:rsidRDefault="00AB55E8" w:rsidP="00AB55E8">
      <w:r>
        <w:rPr>
          <w:b/>
          <w:i/>
          <w:u w:val="single"/>
          <w:lang w:val="en-GB"/>
        </w:rPr>
        <w:t>Observation</w:t>
      </w:r>
      <w:r w:rsidRPr="00FA6B61">
        <w:rPr>
          <w:b/>
          <w:i/>
          <w:u w:val="single"/>
          <w:lang w:val="en-GB"/>
        </w:rPr>
        <w:t xml:space="preserve"> </w:t>
      </w:r>
      <w:r>
        <w:rPr>
          <w:b/>
          <w:i/>
          <w:u w:val="single"/>
          <w:lang w:val="en-GB"/>
        </w:rPr>
        <w:t>2</w:t>
      </w:r>
      <w:r w:rsidRPr="00FA6B61">
        <w:rPr>
          <w:b/>
          <w:i/>
          <w:u w:val="single"/>
          <w:lang w:val="en-GB"/>
        </w:rPr>
        <w:t>:</w:t>
      </w:r>
      <w:r w:rsidRPr="00FA6B61">
        <w:rPr>
          <w:b/>
          <w:i/>
          <w:lang w:val="en-GB"/>
        </w:rPr>
        <w:t xml:space="preserve"> </w:t>
      </w:r>
      <w:r>
        <w:rPr>
          <w:b/>
          <w:i/>
          <w:lang w:val="en-GB"/>
        </w:rPr>
        <w:t>Non-contiguous PRB allocation for CP-OFDM based UL transmission may suffers from channel estimation loss at low SNR region.</w:t>
      </w:r>
    </w:p>
    <w:p w14:paraId="09B3E83F" w14:textId="0925113E" w:rsidR="00521D24" w:rsidRPr="000740E1" w:rsidRDefault="00EB6F27" w:rsidP="000A3CBA">
      <w:pPr>
        <w:jc w:val="both"/>
        <w:rPr>
          <w:lang w:val="en-GB"/>
        </w:rPr>
      </w:pPr>
      <w:r>
        <w:t xml:space="preserve">Based on the above observations, </w:t>
      </w:r>
      <w:r>
        <w:rPr>
          <w:lang w:val="en-GB"/>
        </w:rPr>
        <w:t>the following proposal</w:t>
      </w:r>
      <w:r w:rsidR="00441D80">
        <w:rPr>
          <w:lang w:val="en-GB"/>
        </w:rPr>
        <w:t>s</w:t>
      </w:r>
      <w:r>
        <w:rPr>
          <w:lang w:val="en-GB"/>
        </w:rPr>
        <w:t xml:space="preserve"> </w:t>
      </w:r>
      <w:r w:rsidR="00441D80">
        <w:rPr>
          <w:lang w:val="en-GB"/>
        </w:rPr>
        <w:t>are</w:t>
      </w:r>
      <w:r w:rsidR="00B425D3" w:rsidRPr="00914127">
        <w:rPr>
          <w:lang w:val="en-GB"/>
        </w:rPr>
        <w:t xml:space="preserve"> </w:t>
      </w:r>
      <w:r>
        <w:rPr>
          <w:lang w:val="en-GB"/>
        </w:rPr>
        <w:t xml:space="preserve">proposed </w:t>
      </w:r>
      <w:r w:rsidR="00B425D3" w:rsidRPr="00914127">
        <w:rPr>
          <w:lang w:val="en-GB"/>
        </w:rPr>
        <w:t xml:space="preserve">for </w:t>
      </w:r>
      <w:r w:rsidR="000740E1" w:rsidRPr="000740E1">
        <w:rPr>
          <w:lang w:val="en-GB"/>
        </w:rPr>
        <w:t>PRB allocation in CP-OFDM based UL transmissions</w:t>
      </w:r>
      <w:r w:rsidR="00B425D3" w:rsidRPr="00914127">
        <w:rPr>
          <w:lang w:val="en-GB"/>
        </w:rPr>
        <w:t>.</w:t>
      </w:r>
      <w:r w:rsidR="00A43963" w:rsidRPr="000740E1">
        <w:rPr>
          <w:lang w:val="en-GB"/>
        </w:rPr>
        <w:t xml:space="preserve"> </w:t>
      </w:r>
    </w:p>
    <w:p w14:paraId="69A01547" w14:textId="41823C84" w:rsidR="00441D80" w:rsidRDefault="00441D80" w:rsidP="00441D80">
      <w:pPr>
        <w:jc w:val="both"/>
        <w:rPr>
          <w:b/>
          <w:i/>
          <w:u w:val="single"/>
          <w:lang w:val="en-GB"/>
        </w:rPr>
      </w:pPr>
      <w:r w:rsidRPr="00FA6B61">
        <w:rPr>
          <w:b/>
          <w:i/>
          <w:u w:val="single"/>
          <w:lang w:val="en-GB"/>
        </w:rPr>
        <w:t xml:space="preserve">Proposal </w:t>
      </w:r>
      <w:r>
        <w:rPr>
          <w:b/>
          <w:i/>
          <w:u w:val="single"/>
          <w:lang w:val="en-GB"/>
        </w:rPr>
        <w:t>1</w:t>
      </w:r>
      <w:r w:rsidRPr="00FA6B61">
        <w:rPr>
          <w:b/>
          <w:i/>
          <w:u w:val="single"/>
          <w:lang w:val="en-GB"/>
        </w:rPr>
        <w:t>:</w:t>
      </w:r>
      <w:r w:rsidRPr="00FA6B61">
        <w:rPr>
          <w:b/>
          <w:i/>
          <w:lang w:val="en-GB"/>
        </w:rPr>
        <w:t xml:space="preserve"> </w:t>
      </w:r>
      <w:r>
        <w:rPr>
          <w:b/>
          <w:bCs/>
          <w:i/>
          <w:iCs/>
        </w:rPr>
        <w:t>Contiguous PRB allocation should be prioritized as baseline for CP-OFDM based UL transmission in release 15.</w:t>
      </w:r>
    </w:p>
    <w:p w14:paraId="3D5D33D6" w14:textId="77777777" w:rsidR="00441D80" w:rsidRPr="00992B60" w:rsidRDefault="00441D80" w:rsidP="00441D80">
      <w:pPr>
        <w:jc w:val="both"/>
        <w:rPr>
          <w:b/>
          <w:i/>
          <w:lang w:val="en-GB"/>
        </w:rPr>
      </w:pPr>
      <w:r w:rsidRPr="00FA6B61">
        <w:rPr>
          <w:b/>
          <w:i/>
          <w:u w:val="single"/>
          <w:lang w:val="en-GB"/>
        </w:rPr>
        <w:t xml:space="preserve">Proposal </w:t>
      </w:r>
      <w:r>
        <w:rPr>
          <w:b/>
          <w:i/>
          <w:u w:val="single"/>
          <w:lang w:val="en-GB"/>
        </w:rPr>
        <w:t>2</w:t>
      </w:r>
      <w:r w:rsidRPr="00FA6B61">
        <w:rPr>
          <w:b/>
          <w:i/>
          <w:u w:val="single"/>
          <w:lang w:val="en-GB"/>
        </w:rPr>
        <w:t>:</w:t>
      </w:r>
      <w:r w:rsidRPr="00FA6B61">
        <w:rPr>
          <w:b/>
          <w:i/>
          <w:lang w:val="en-GB"/>
        </w:rPr>
        <w:t xml:space="preserve"> </w:t>
      </w:r>
      <w:r>
        <w:rPr>
          <w:b/>
          <w:i/>
          <w:lang w:val="en-GB"/>
        </w:rPr>
        <w:t>RAN 1 should study the trade-off among MPR, channel estimation loss, and diversity gain for non-contiguous PRB allocation for CP-OFDM based UL transmission</w:t>
      </w:r>
      <w:r w:rsidRPr="00FA6B61">
        <w:rPr>
          <w:b/>
          <w:i/>
          <w:lang w:val="en-GB"/>
        </w:rPr>
        <w:t>.</w:t>
      </w:r>
      <w:r>
        <w:rPr>
          <w:b/>
          <w:i/>
          <w:lang w:val="en-GB"/>
        </w:rPr>
        <w:t xml:space="preserve"> RAN 1 should send LS to RAN4 for MPR impact with non-contiguous PRB allocation.</w:t>
      </w:r>
    </w:p>
    <w:p w14:paraId="64099BEB" w14:textId="6F775A7F" w:rsidR="002F77EB" w:rsidRPr="00F0497A" w:rsidRDefault="00E523F3" w:rsidP="000A3CBA">
      <w:pPr>
        <w:pStyle w:val="Heading1"/>
        <w:jc w:val="both"/>
        <w:rPr>
          <w:lang w:val="en-US"/>
        </w:rPr>
      </w:pPr>
      <w:r w:rsidRPr="000A64D8">
        <w:rPr>
          <w:lang w:val="en-US"/>
        </w:rPr>
        <w:t>References</w:t>
      </w:r>
      <w:bookmarkStart w:id="20" w:name="_Ref457730460"/>
      <w:bookmarkStart w:id="21" w:name="_Ref450735844"/>
      <w:bookmarkStart w:id="22" w:name="_Ref450342757"/>
      <w:r w:rsidR="002F77EB" w:rsidRPr="005D74B7">
        <w:rPr>
          <w:rFonts w:hint="eastAsia"/>
        </w:rPr>
        <w:tab/>
      </w:r>
    </w:p>
    <w:p w14:paraId="34B7757F" w14:textId="2CFF91E9" w:rsidR="00981C1E" w:rsidRDefault="00981C1E" w:rsidP="00F46DA4">
      <w:pPr>
        <w:pStyle w:val="ListParagraph"/>
        <w:numPr>
          <w:ilvl w:val="0"/>
          <w:numId w:val="2"/>
        </w:numPr>
        <w:jc w:val="both"/>
        <w:rPr>
          <w:rFonts w:ascii="Times New Roman" w:eastAsia="SimSun" w:hAnsi="Times New Roman"/>
          <w:sz w:val="20"/>
        </w:rPr>
      </w:pPr>
      <w:bookmarkStart w:id="23" w:name="_Ref481675115"/>
      <w:bookmarkStart w:id="24" w:name="_Ref461383190"/>
      <w:r>
        <w:rPr>
          <w:rFonts w:ascii="Times New Roman" w:eastAsia="SimSun" w:hAnsi="Times New Roman"/>
          <w:sz w:val="20"/>
        </w:rPr>
        <w:t>3GPP RAN1 88bis</w:t>
      </w:r>
      <w:bookmarkEnd w:id="23"/>
      <w:r w:rsidR="00241250">
        <w:rPr>
          <w:rFonts w:ascii="Times New Roman" w:eastAsia="SimSun" w:hAnsi="Times New Roman"/>
          <w:sz w:val="20"/>
        </w:rPr>
        <w:t xml:space="preserve">, “RAN1 Chairman’s Notes,” </w:t>
      </w:r>
      <w:r w:rsidR="00241250" w:rsidRPr="00241250">
        <w:rPr>
          <w:rFonts w:ascii="Times New Roman" w:eastAsia="SimSun" w:hAnsi="Times New Roman" w:hint="eastAsia"/>
          <w:sz w:val="20"/>
        </w:rPr>
        <w:t xml:space="preserve">Spokane, USA, 3rd </w:t>
      </w:r>
      <w:r w:rsidR="00241250" w:rsidRPr="00241250">
        <w:rPr>
          <w:rFonts w:ascii="Times New Roman" w:eastAsia="SimSun" w:hAnsi="Times New Roman"/>
          <w:sz w:val="20"/>
        </w:rPr>
        <w:t>–</w:t>
      </w:r>
      <w:r w:rsidR="00241250" w:rsidRPr="00241250">
        <w:rPr>
          <w:rFonts w:ascii="Times New Roman" w:eastAsia="SimSun" w:hAnsi="Times New Roman" w:hint="eastAsia"/>
          <w:sz w:val="20"/>
        </w:rPr>
        <w:t xml:space="preserve"> 7th April</w:t>
      </w:r>
      <w:r w:rsidR="00241250" w:rsidRPr="00241250">
        <w:rPr>
          <w:rFonts w:ascii="Times New Roman" w:eastAsia="SimSun" w:hAnsi="Times New Roman"/>
          <w:sz w:val="20"/>
        </w:rPr>
        <w:t xml:space="preserve"> 2017.</w:t>
      </w:r>
    </w:p>
    <w:p w14:paraId="43518F76" w14:textId="4608855A" w:rsidR="00073623" w:rsidRDefault="002F77EB" w:rsidP="00F46DA4">
      <w:pPr>
        <w:pStyle w:val="ListParagraph"/>
        <w:numPr>
          <w:ilvl w:val="0"/>
          <w:numId w:val="2"/>
        </w:numPr>
        <w:jc w:val="both"/>
        <w:rPr>
          <w:rFonts w:ascii="Times New Roman" w:eastAsia="SimSun" w:hAnsi="Times New Roman"/>
          <w:sz w:val="20"/>
        </w:rPr>
      </w:pPr>
      <w:bookmarkStart w:id="25" w:name="_Ref481675123"/>
      <w:r>
        <w:rPr>
          <w:rFonts w:ascii="Times New Roman" w:eastAsia="SimSun" w:hAnsi="Times New Roman"/>
          <w:sz w:val="20"/>
        </w:rPr>
        <w:t>3GPP RAN1 8</w:t>
      </w:r>
      <w:r w:rsidR="00C02491">
        <w:rPr>
          <w:rFonts w:ascii="Times New Roman" w:eastAsia="SimSun" w:hAnsi="Times New Roman"/>
          <w:sz w:val="20"/>
        </w:rPr>
        <w:t>8</w:t>
      </w:r>
      <w:r w:rsidR="00540310">
        <w:rPr>
          <w:rFonts w:ascii="Times New Roman" w:eastAsia="SimSun" w:hAnsi="Times New Roman"/>
          <w:sz w:val="20"/>
        </w:rPr>
        <w:t>,</w:t>
      </w:r>
      <w:r w:rsidR="00226480">
        <w:rPr>
          <w:rFonts w:ascii="Times New Roman" w:eastAsia="SimSun" w:hAnsi="Times New Roman"/>
          <w:sz w:val="20"/>
        </w:rPr>
        <w:t xml:space="preserve"> </w:t>
      </w:r>
      <w:r>
        <w:rPr>
          <w:rFonts w:ascii="Times New Roman" w:eastAsia="SimSun" w:hAnsi="Times New Roman"/>
          <w:sz w:val="20"/>
        </w:rPr>
        <w:t>“</w:t>
      </w:r>
      <w:r w:rsidR="00226480">
        <w:rPr>
          <w:rFonts w:ascii="Times New Roman" w:eastAsia="SimSun" w:hAnsi="Times New Roman"/>
          <w:sz w:val="20"/>
        </w:rPr>
        <w:t xml:space="preserve">RAN1 </w:t>
      </w:r>
      <w:r w:rsidR="00241250">
        <w:rPr>
          <w:rFonts w:ascii="Times New Roman" w:eastAsia="SimSun" w:hAnsi="Times New Roman"/>
          <w:sz w:val="20"/>
        </w:rPr>
        <w:t>Chairman’s Notes,”</w:t>
      </w:r>
      <w:r>
        <w:rPr>
          <w:rFonts w:ascii="Times New Roman" w:eastAsia="SimSun" w:hAnsi="Times New Roman"/>
          <w:sz w:val="20"/>
        </w:rPr>
        <w:t xml:space="preserve"> </w:t>
      </w:r>
      <w:bookmarkEnd w:id="24"/>
      <w:r w:rsidR="00C02491" w:rsidRPr="00C02491">
        <w:rPr>
          <w:rFonts w:ascii="Times New Roman" w:eastAsia="SimSun" w:hAnsi="Times New Roman"/>
          <w:sz w:val="20"/>
        </w:rPr>
        <w:t>Athens, Greece</w:t>
      </w:r>
      <w:r w:rsidR="00C02491">
        <w:rPr>
          <w:rFonts w:ascii="Times New Roman" w:eastAsia="SimSun" w:hAnsi="Times New Roman"/>
          <w:sz w:val="20"/>
        </w:rPr>
        <w:t>,</w:t>
      </w:r>
      <w:r w:rsidR="00C02491" w:rsidRPr="00C02491">
        <w:rPr>
          <w:rFonts w:ascii="Times New Roman" w:eastAsia="SimSun" w:hAnsi="Times New Roman"/>
          <w:sz w:val="20"/>
        </w:rPr>
        <w:t xml:space="preserve"> 13</w:t>
      </w:r>
      <w:r w:rsidR="00C02491" w:rsidRPr="00C02491">
        <w:rPr>
          <w:rFonts w:ascii="Times New Roman" w:eastAsia="SimSun" w:hAnsi="Times New Roman" w:hint="eastAsia"/>
          <w:sz w:val="20"/>
        </w:rPr>
        <w:t>th</w:t>
      </w:r>
      <w:r w:rsidR="00C02491" w:rsidRPr="00C02491">
        <w:rPr>
          <w:rFonts w:ascii="Times New Roman" w:eastAsia="SimSun" w:hAnsi="Times New Roman"/>
          <w:sz w:val="20"/>
        </w:rPr>
        <w:t xml:space="preserve"> – 17</w:t>
      </w:r>
      <w:r w:rsidR="00C02491" w:rsidRPr="00C02491">
        <w:rPr>
          <w:rFonts w:ascii="Times New Roman" w:eastAsia="SimSun" w:hAnsi="Times New Roman" w:hint="eastAsia"/>
          <w:sz w:val="20"/>
        </w:rPr>
        <w:t xml:space="preserve">th </w:t>
      </w:r>
      <w:r w:rsidR="00C02491" w:rsidRPr="00C02491">
        <w:rPr>
          <w:rFonts w:ascii="Times New Roman" w:eastAsia="SimSun" w:hAnsi="Times New Roman"/>
          <w:sz w:val="20"/>
        </w:rPr>
        <w:t>February 2017</w:t>
      </w:r>
      <w:r w:rsidR="00C02491">
        <w:rPr>
          <w:rFonts w:ascii="Times New Roman" w:eastAsia="SimSun" w:hAnsi="Times New Roman"/>
          <w:sz w:val="20"/>
        </w:rPr>
        <w:t>.</w:t>
      </w:r>
      <w:bookmarkEnd w:id="25"/>
    </w:p>
    <w:p w14:paraId="75D27E4C" w14:textId="1ADCB742" w:rsidR="00540310" w:rsidRDefault="00540310" w:rsidP="00F46DA4">
      <w:pPr>
        <w:pStyle w:val="ListParagraph"/>
        <w:numPr>
          <w:ilvl w:val="0"/>
          <w:numId w:val="2"/>
        </w:numPr>
        <w:jc w:val="both"/>
        <w:rPr>
          <w:rFonts w:ascii="Times New Roman" w:eastAsia="SimSun" w:hAnsi="Times New Roman"/>
          <w:sz w:val="20"/>
        </w:rPr>
      </w:pPr>
      <w:bookmarkStart w:id="26" w:name="_Ref481678721"/>
      <w:r w:rsidRPr="00540310">
        <w:rPr>
          <w:rFonts w:ascii="Times New Roman" w:eastAsia="SimSun" w:hAnsi="Times New Roman"/>
          <w:sz w:val="20"/>
        </w:rPr>
        <w:t>3GPP TS 36.101, “User Equipment (UE) radio transmission and reception</w:t>
      </w:r>
      <w:r w:rsidR="00241250">
        <w:rPr>
          <w:rFonts w:ascii="Times New Roman" w:eastAsia="SimSun" w:hAnsi="Times New Roman"/>
          <w:sz w:val="20"/>
        </w:rPr>
        <w:t>,</w:t>
      </w:r>
      <w:r w:rsidRPr="00540310">
        <w:rPr>
          <w:rFonts w:ascii="Times New Roman" w:eastAsia="SimSun" w:hAnsi="Times New Roman"/>
          <w:sz w:val="20"/>
        </w:rPr>
        <w:t>” V14.3.0, March 2017.</w:t>
      </w:r>
      <w:bookmarkEnd w:id="26"/>
      <w:r w:rsidRPr="00540310">
        <w:rPr>
          <w:rFonts w:ascii="Times New Roman" w:eastAsia="SimSun" w:hAnsi="Times New Roman"/>
          <w:sz w:val="20"/>
        </w:rPr>
        <w:t xml:space="preserve"> </w:t>
      </w:r>
    </w:p>
    <w:p w14:paraId="21395761" w14:textId="48B4CCEC" w:rsidR="00F44200" w:rsidRDefault="00F44200" w:rsidP="00F44200">
      <w:pPr>
        <w:pStyle w:val="ListParagraph"/>
        <w:numPr>
          <w:ilvl w:val="0"/>
          <w:numId w:val="2"/>
        </w:numPr>
        <w:jc w:val="both"/>
        <w:rPr>
          <w:rFonts w:ascii="Times New Roman" w:eastAsia="SimSun" w:hAnsi="Times New Roman"/>
          <w:sz w:val="20"/>
        </w:rPr>
      </w:pPr>
      <w:bookmarkStart w:id="27" w:name="_Ref481679572"/>
      <w:bookmarkEnd w:id="20"/>
      <w:bookmarkEnd w:id="21"/>
      <w:bookmarkEnd w:id="22"/>
      <w:r w:rsidRPr="00F44200">
        <w:rPr>
          <w:rFonts w:ascii="Times New Roman" w:eastAsia="SimSun" w:hAnsi="Times New Roman"/>
          <w:sz w:val="20"/>
        </w:rPr>
        <w:t>R4-1609648</w:t>
      </w:r>
      <w:r w:rsidRPr="00540310">
        <w:rPr>
          <w:rFonts w:ascii="Times New Roman" w:eastAsia="SimSun" w:hAnsi="Times New Roman"/>
          <w:sz w:val="20"/>
        </w:rPr>
        <w:t>, “</w:t>
      </w:r>
      <w:r w:rsidRPr="00F44200">
        <w:rPr>
          <w:rFonts w:ascii="Times New Roman" w:eastAsia="SimSun" w:hAnsi="Times New Roman"/>
          <w:sz w:val="20"/>
        </w:rPr>
        <w:t>Non-contiguous allocations and MPR with OFDM</w:t>
      </w:r>
      <w:r w:rsidR="00241250">
        <w:rPr>
          <w:rFonts w:ascii="Times New Roman" w:eastAsia="SimSun" w:hAnsi="Times New Roman"/>
          <w:sz w:val="20"/>
        </w:rPr>
        <w:t>,</w:t>
      </w:r>
      <w:r w:rsidRPr="00540310">
        <w:rPr>
          <w:rFonts w:ascii="Times New Roman" w:eastAsia="SimSun" w:hAnsi="Times New Roman"/>
          <w:sz w:val="20"/>
        </w:rPr>
        <w:t xml:space="preserve">” </w:t>
      </w:r>
      <w:r w:rsidRPr="00F44200">
        <w:rPr>
          <w:rFonts w:ascii="Times New Roman" w:eastAsia="SimSun" w:hAnsi="Times New Roman"/>
          <w:sz w:val="20"/>
        </w:rPr>
        <w:t>Reno, Nevada, USA, 14 - 18 November 2016</w:t>
      </w:r>
      <w:r w:rsidRPr="00540310">
        <w:rPr>
          <w:rFonts w:ascii="Times New Roman" w:eastAsia="SimSun" w:hAnsi="Times New Roman"/>
          <w:sz w:val="20"/>
        </w:rPr>
        <w:t>.</w:t>
      </w:r>
      <w:bookmarkEnd w:id="27"/>
      <w:r w:rsidRPr="00540310">
        <w:rPr>
          <w:rFonts w:ascii="Times New Roman" w:eastAsia="SimSun" w:hAnsi="Times New Roman"/>
          <w:sz w:val="20"/>
        </w:rPr>
        <w:t xml:space="preserve"> </w:t>
      </w:r>
    </w:p>
    <w:p w14:paraId="430E5783" w14:textId="77777777" w:rsidR="00680FBB" w:rsidRPr="00680FBB" w:rsidRDefault="00680FBB" w:rsidP="00680FBB">
      <w:pPr>
        <w:pStyle w:val="ListParagraph"/>
        <w:numPr>
          <w:ilvl w:val="0"/>
          <w:numId w:val="2"/>
        </w:numPr>
        <w:jc w:val="both"/>
        <w:rPr>
          <w:rFonts w:ascii="Times New Roman" w:eastAsia="SimSun" w:hAnsi="Times New Roman"/>
          <w:sz w:val="20"/>
        </w:rPr>
      </w:pPr>
      <w:bookmarkStart w:id="28" w:name="_Ref492547761"/>
      <w:r w:rsidRPr="00680FBB">
        <w:rPr>
          <w:rFonts w:ascii="Times New Roman" w:eastAsia="SimSun" w:hAnsi="Times New Roman"/>
          <w:sz w:val="20"/>
        </w:rPr>
        <w:t xml:space="preserve">3GPP TSG RAN WG1 </w:t>
      </w:r>
      <w:r w:rsidRPr="00680FBB">
        <w:rPr>
          <w:rFonts w:ascii="Times New Roman" w:eastAsia="SimSun" w:hAnsi="Times New Roman" w:hint="eastAsia"/>
          <w:sz w:val="20"/>
        </w:rPr>
        <w:t>Meeting #90</w:t>
      </w:r>
      <w:r w:rsidRPr="00680FBB">
        <w:rPr>
          <w:rFonts w:ascii="Times New Roman" w:eastAsia="SimSun" w:hAnsi="Times New Roman"/>
          <w:sz w:val="20"/>
        </w:rPr>
        <w:t>, “RAN1 Chairman’s Notes,” Prague, Czech Republic, 21</w:t>
      </w:r>
      <w:r w:rsidRPr="00680FBB">
        <w:rPr>
          <w:rFonts w:ascii="Times New Roman" w:eastAsia="SimSun" w:hAnsi="Times New Roman" w:hint="eastAsia"/>
          <w:sz w:val="20"/>
        </w:rPr>
        <w:t>st</w:t>
      </w:r>
      <w:r w:rsidRPr="00680FBB">
        <w:rPr>
          <w:rFonts w:ascii="Times New Roman" w:eastAsia="SimSun" w:hAnsi="Times New Roman"/>
          <w:sz w:val="20"/>
        </w:rPr>
        <w:t xml:space="preserve"> – 25th August 2017</w:t>
      </w:r>
      <w:bookmarkEnd w:id="28"/>
    </w:p>
    <w:p w14:paraId="5B26621C" w14:textId="77777777" w:rsidR="00680FBB" w:rsidRDefault="00680FBB" w:rsidP="00680FBB">
      <w:pPr>
        <w:pStyle w:val="ListParagraph"/>
        <w:ind w:left="567"/>
        <w:jc w:val="both"/>
        <w:rPr>
          <w:rFonts w:ascii="Times New Roman" w:eastAsia="SimSun" w:hAnsi="Times New Roman"/>
          <w:sz w:val="20"/>
        </w:rPr>
      </w:pPr>
    </w:p>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A209B" w14:textId="77777777" w:rsidR="00A70640" w:rsidRDefault="00A70640">
      <w:r>
        <w:separator/>
      </w:r>
    </w:p>
  </w:endnote>
  <w:endnote w:type="continuationSeparator" w:id="0">
    <w:p w14:paraId="3ABB4AF8" w14:textId="77777777" w:rsidR="00A70640" w:rsidRDefault="00A70640">
      <w:r>
        <w:continuationSeparator/>
      </w:r>
    </w:p>
  </w:endnote>
  <w:endnote w:type="continuationNotice" w:id="1">
    <w:p w14:paraId="00D8FADF" w14:textId="77777777" w:rsidR="00A70640" w:rsidRDefault="00A70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1A9022"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50B6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0B69">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62C6E" w14:textId="77777777" w:rsidR="00A70640" w:rsidRDefault="00A70640">
      <w:r>
        <w:separator/>
      </w:r>
    </w:p>
  </w:footnote>
  <w:footnote w:type="continuationSeparator" w:id="0">
    <w:p w14:paraId="76E5AA86" w14:textId="77777777" w:rsidR="00A70640" w:rsidRDefault="00A70640">
      <w:r>
        <w:continuationSeparator/>
      </w:r>
    </w:p>
  </w:footnote>
  <w:footnote w:type="continuationNotice" w:id="1">
    <w:p w14:paraId="1D97F282" w14:textId="77777777" w:rsidR="00A70640" w:rsidRDefault="00A706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390487"/>
    <w:multiLevelType w:val="hybridMultilevel"/>
    <w:tmpl w:val="BA98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25788"/>
    <w:multiLevelType w:val="hybridMultilevel"/>
    <w:tmpl w:val="CF966B7C"/>
    <w:lvl w:ilvl="0" w:tplc="42E48786">
      <w:start w:val="1"/>
      <w:numFmt w:val="bullet"/>
      <w:lvlText w:val="•"/>
      <w:lvlJc w:val="left"/>
      <w:pPr>
        <w:tabs>
          <w:tab w:val="num" w:pos="720"/>
        </w:tabs>
        <w:ind w:left="720" w:hanging="360"/>
      </w:pPr>
      <w:rPr>
        <w:rFonts w:ascii="Arial" w:hAnsi="Arial" w:cs="Times New Roman" w:hint="default"/>
      </w:rPr>
    </w:lvl>
    <w:lvl w:ilvl="1" w:tplc="93B408B0">
      <w:start w:val="1782"/>
      <w:numFmt w:val="bullet"/>
      <w:lvlText w:val="–"/>
      <w:lvlJc w:val="left"/>
      <w:pPr>
        <w:tabs>
          <w:tab w:val="num" w:pos="1440"/>
        </w:tabs>
        <w:ind w:left="1440" w:hanging="360"/>
      </w:pPr>
      <w:rPr>
        <w:rFonts w:ascii="Arial" w:hAnsi="Arial" w:cs="Times New Roman" w:hint="default"/>
      </w:rPr>
    </w:lvl>
    <w:lvl w:ilvl="2" w:tplc="B234231C">
      <w:start w:val="1"/>
      <w:numFmt w:val="bullet"/>
      <w:lvlText w:val="•"/>
      <w:lvlJc w:val="left"/>
      <w:pPr>
        <w:tabs>
          <w:tab w:val="num" w:pos="2160"/>
        </w:tabs>
        <w:ind w:left="2160" w:hanging="360"/>
      </w:pPr>
      <w:rPr>
        <w:rFonts w:ascii="Arial" w:hAnsi="Arial" w:cs="Times New Roman" w:hint="default"/>
      </w:rPr>
    </w:lvl>
    <w:lvl w:ilvl="3" w:tplc="70F87788">
      <w:start w:val="1"/>
      <w:numFmt w:val="bullet"/>
      <w:lvlText w:val="•"/>
      <w:lvlJc w:val="left"/>
      <w:pPr>
        <w:tabs>
          <w:tab w:val="num" w:pos="2880"/>
        </w:tabs>
        <w:ind w:left="2880" w:hanging="360"/>
      </w:pPr>
      <w:rPr>
        <w:rFonts w:ascii="Arial" w:hAnsi="Arial" w:cs="Times New Roman" w:hint="default"/>
      </w:rPr>
    </w:lvl>
    <w:lvl w:ilvl="4" w:tplc="19DECAA0">
      <w:start w:val="1"/>
      <w:numFmt w:val="bullet"/>
      <w:lvlText w:val="•"/>
      <w:lvlJc w:val="left"/>
      <w:pPr>
        <w:tabs>
          <w:tab w:val="num" w:pos="3600"/>
        </w:tabs>
        <w:ind w:left="3600" w:hanging="360"/>
      </w:pPr>
      <w:rPr>
        <w:rFonts w:ascii="Arial" w:hAnsi="Arial" w:cs="Times New Roman" w:hint="default"/>
      </w:rPr>
    </w:lvl>
    <w:lvl w:ilvl="5" w:tplc="EC24DC9E">
      <w:start w:val="1"/>
      <w:numFmt w:val="bullet"/>
      <w:lvlText w:val="•"/>
      <w:lvlJc w:val="left"/>
      <w:pPr>
        <w:tabs>
          <w:tab w:val="num" w:pos="4320"/>
        </w:tabs>
        <w:ind w:left="4320" w:hanging="360"/>
      </w:pPr>
      <w:rPr>
        <w:rFonts w:ascii="Arial" w:hAnsi="Arial" w:cs="Times New Roman" w:hint="default"/>
      </w:rPr>
    </w:lvl>
    <w:lvl w:ilvl="6" w:tplc="1CAC6BDE">
      <w:start w:val="1"/>
      <w:numFmt w:val="bullet"/>
      <w:lvlText w:val="•"/>
      <w:lvlJc w:val="left"/>
      <w:pPr>
        <w:tabs>
          <w:tab w:val="num" w:pos="5040"/>
        </w:tabs>
        <w:ind w:left="5040" w:hanging="360"/>
      </w:pPr>
      <w:rPr>
        <w:rFonts w:ascii="Arial" w:hAnsi="Arial" w:cs="Times New Roman" w:hint="default"/>
      </w:rPr>
    </w:lvl>
    <w:lvl w:ilvl="7" w:tplc="B72CA82C">
      <w:start w:val="1"/>
      <w:numFmt w:val="bullet"/>
      <w:lvlText w:val="•"/>
      <w:lvlJc w:val="left"/>
      <w:pPr>
        <w:tabs>
          <w:tab w:val="num" w:pos="5760"/>
        </w:tabs>
        <w:ind w:left="5760" w:hanging="360"/>
      </w:pPr>
      <w:rPr>
        <w:rFonts w:ascii="Arial" w:hAnsi="Arial" w:cs="Times New Roman" w:hint="default"/>
      </w:rPr>
    </w:lvl>
    <w:lvl w:ilvl="8" w:tplc="546C0A7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7A7F2DA4"/>
    <w:multiLevelType w:val="hybridMultilevel"/>
    <w:tmpl w:val="6374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8"/>
  </w:num>
  <w:num w:numId="5">
    <w:abstractNumId w:val="1"/>
  </w:num>
  <w:num w:numId="6">
    <w:abstractNumId w:val="4"/>
  </w:num>
  <w:num w:numId="7">
    <w:abstractNumId w:val="11"/>
  </w:num>
  <w:num w:numId="8">
    <w:abstractNumId w:val="2"/>
  </w:num>
  <w:num w:numId="9">
    <w:abstractNumId w:val="10"/>
  </w:num>
  <w:num w:numId="10">
    <w:abstractNumId w:val="9"/>
  </w:num>
  <w:num w:numId="11">
    <w:abstractNumId w:val="7"/>
  </w:num>
  <w:num w:numId="1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B8"/>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3C9B"/>
    <w:rsid w:val="000740E1"/>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B6B"/>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643"/>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3F75"/>
    <w:rsid w:val="001540F5"/>
    <w:rsid w:val="001544AB"/>
    <w:rsid w:val="00154548"/>
    <w:rsid w:val="00154F0D"/>
    <w:rsid w:val="00155178"/>
    <w:rsid w:val="00155D53"/>
    <w:rsid w:val="0015622B"/>
    <w:rsid w:val="00156260"/>
    <w:rsid w:val="00156284"/>
    <w:rsid w:val="00156502"/>
    <w:rsid w:val="0015796F"/>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19B"/>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4F2"/>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4FA5"/>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C99"/>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7F6"/>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250"/>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3C1"/>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E7D"/>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1F60"/>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E8B"/>
    <w:rsid w:val="00354FE6"/>
    <w:rsid w:val="003552C6"/>
    <w:rsid w:val="003558FD"/>
    <w:rsid w:val="00355A83"/>
    <w:rsid w:val="003562D7"/>
    <w:rsid w:val="00356353"/>
    <w:rsid w:val="003567C9"/>
    <w:rsid w:val="00356C88"/>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1D80"/>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25"/>
    <w:rsid w:val="00445907"/>
    <w:rsid w:val="00445CFF"/>
    <w:rsid w:val="004462AF"/>
    <w:rsid w:val="00446424"/>
    <w:rsid w:val="0044662A"/>
    <w:rsid w:val="004478FA"/>
    <w:rsid w:val="00447C86"/>
    <w:rsid w:val="00450778"/>
    <w:rsid w:val="00450D3B"/>
    <w:rsid w:val="00451250"/>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095"/>
    <w:rsid w:val="004703D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0DD"/>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5BA"/>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706"/>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55B"/>
    <w:rsid w:val="00536AEE"/>
    <w:rsid w:val="00536D47"/>
    <w:rsid w:val="00537092"/>
    <w:rsid w:val="00537640"/>
    <w:rsid w:val="00537989"/>
    <w:rsid w:val="00537BE9"/>
    <w:rsid w:val="00540055"/>
    <w:rsid w:val="00540147"/>
    <w:rsid w:val="00540310"/>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41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457"/>
    <w:rsid w:val="00677725"/>
    <w:rsid w:val="00677D0D"/>
    <w:rsid w:val="00677F10"/>
    <w:rsid w:val="0068013A"/>
    <w:rsid w:val="00680A97"/>
    <w:rsid w:val="00680F30"/>
    <w:rsid w:val="00680F72"/>
    <w:rsid w:val="00680F81"/>
    <w:rsid w:val="00680FBB"/>
    <w:rsid w:val="0068102D"/>
    <w:rsid w:val="00681254"/>
    <w:rsid w:val="00681307"/>
    <w:rsid w:val="006820C0"/>
    <w:rsid w:val="0068226B"/>
    <w:rsid w:val="00682508"/>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27"/>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2CD3"/>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1EAE"/>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AC5"/>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358"/>
    <w:rsid w:val="0077583C"/>
    <w:rsid w:val="00775BAA"/>
    <w:rsid w:val="00775EFD"/>
    <w:rsid w:val="00775F11"/>
    <w:rsid w:val="00776351"/>
    <w:rsid w:val="00776679"/>
    <w:rsid w:val="007768F2"/>
    <w:rsid w:val="00776C10"/>
    <w:rsid w:val="00776D93"/>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04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214A"/>
    <w:rsid w:val="007D2B31"/>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231"/>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CF6"/>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008"/>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4AD"/>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1"/>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E14"/>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F14"/>
    <w:rsid w:val="009816DD"/>
    <w:rsid w:val="00981BAF"/>
    <w:rsid w:val="00981C1E"/>
    <w:rsid w:val="00982314"/>
    <w:rsid w:val="00982768"/>
    <w:rsid w:val="00982773"/>
    <w:rsid w:val="00982AB4"/>
    <w:rsid w:val="00982B3C"/>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2B60"/>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0EE"/>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50D"/>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5C5"/>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2F9"/>
    <w:rsid w:val="00A47B4B"/>
    <w:rsid w:val="00A5044D"/>
    <w:rsid w:val="00A50B00"/>
    <w:rsid w:val="00A50B69"/>
    <w:rsid w:val="00A50D49"/>
    <w:rsid w:val="00A511FB"/>
    <w:rsid w:val="00A514EB"/>
    <w:rsid w:val="00A521E0"/>
    <w:rsid w:val="00A524C8"/>
    <w:rsid w:val="00A5291D"/>
    <w:rsid w:val="00A52EDB"/>
    <w:rsid w:val="00A532E0"/>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640"/>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8B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5E8"/>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A25"/>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7E"/>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0FA6"/>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D6E"/>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4C2E"/>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2A25"/>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7AF"/>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6ED"/>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8A0"/>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46C"/>
    <w:rsid w:val="00E81587"/>
    <w:rsid w:val="00E826C8"/>
    <w:rsid w:val="00E82819"/>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6F27"/>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200"/>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717"/>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79F"/>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B1Char">
    <w:name w:val="B1 Char"/>
    <w:link w:val="B1"/>
    <w:rsid w:val="00DC2A2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664190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HR33RHYHUWRF-4-5459</_dlc_DocId>
    <_dlc_DocIdUrl xmlns="c06861ca-3f08-4d07-bff7-bb15bac121f4">
      <Url>https://projects.qualcomm.com/sites/pentari/_layouts/15/DocIdRedir.aspx?ID=HR33RHYHUWRF-4-5459</Url>
      <Description>HR33RHYHUWRF-4-5459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7870E72-32DD-4CCC-8C43-533E9DE1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3679</TotalTime>
  <Pages>6</Pages>
  <Words>1513</Words>
  <Characters>8628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220</cp:revision>
  <cp:lastPrinted>2014-11-07T05:38:00Z</cp:lastPrinted>
  <dcterms:created xsi:type="dcterms:W3CDTF">2016-11-05T05:29:00Z</dcterms:created>
  <dcterms:modified xsi:type="dcterms:W3CDTF">2017-09-11T21:44:00Z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c9abde2f-e303-441b-84a4-98ed2b38b87c</vt:lpwstr>
  </property>
</Properties>
</file>